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23510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proofErr w:type="spellStart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>Attention</w:t>
      </w:r>
      <w:proofErr w:type="spellEnd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in </w:t>
      </w:r>
      <w:proofErr w:type="spellStart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>Our</w:t>
      </w:r>
      <w:proofErr w:type="spellEnd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>Thesis-Based</w:t>
      </w:r>
      <w:proofErr w:type="spellEnd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>Master's</w:t>
      </w:r>
      <w:proofErr w:type="spellEnd"/>
      <w:r w:rsidRPr="003F30A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Program:</w:t>
      </w:r>
    </w:p>
    <w:p w14:paraId="74BA88F7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1.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programs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where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advisor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assignments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are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not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made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department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chair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:</w:t>
      </w:r>
    </w:p>
    <w:p w14:paraId="332569FC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have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reached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of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their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second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semester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in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thesis-based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program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apply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advisor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assignment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after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selecting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an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advisor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from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within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obtaining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approval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from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department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chair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</w:p>
    <w:p w14:paraId="3D5FC4EF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2.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Advisor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Preference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approved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Proposal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which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have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filled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out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together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their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advisors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within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one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month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latest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theses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requiring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an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ethics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committee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advisor-signed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application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attached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Proposal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along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application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documents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submitted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committee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after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receiving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email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confirming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acceptance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of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proposal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</w:p>
    <w:p w14:paraId="1E12DD3E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3.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whose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proposals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have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been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accepted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management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board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log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in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Automation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System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via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link https://tez.yok.gov.tr/UlusalTezMerkezi/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complete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Data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Entry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Form.</w:t>
      </w:r>
    </w:p>
    <w:p w14:paraId="54BE53E3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4. Forms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such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as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advisor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assignment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proposal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jury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assignment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etc</w:t>
      </w:r>
      <w:proofErr w:type="spellEnd"/>
      <w:proofErr w:type="gram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.,</w:t>
      </w:r>
      <w:proofErr w:type="gram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submitted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may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sent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secretary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(ayse.satir@uskudar.edu.tr esen.aktas@uskudar.edu.tr)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via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email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provided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that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are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accompanied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approval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from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advisor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department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chair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via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email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</w:p>
    <w:p w14:paraId="24A5066E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</w:p>
    <w:p w14:paraId="61A28179" w14:textId="0B9798AD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Attention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Prepari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>ng</w:t>
      </w:r>
      <w:proofErr w:type="spellEnd"/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2"/>
          <w:sz w:val="22"/>
          <w:szCs w:val="22"/>
        </w:rPr>
        <w:t>Submitting</w:t>
      </w:r>
      <w:proofErr w:type="spellEnd"/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2"/>
          <w:sz w:val="22"/>
          <w:szCs w:val="22"/>
        </w:rPr>
        <w:t>Their</w:t>
      </w:r>
      <w:proofErr w:type="spellEnd"/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2"/>
          <w:sz w:val="22"/>
          <w:szCs w:val="22"/>
        </w:rPr>
        <w:t>Theses</w:t>
      </w:r>
      <w:proofErr w:type="spellEnd"/>
      <w:r>
        <w:rPr>
          <w:rFonts w:asciiTheme="minorHAnsi" w:hAnsiTheme="minorHAnsi" w:cstheme="minorHAnsi"/>
          <w:bCs/>
          <w:spacing w:val="-2"/>
          <w:sz w:val="22"/>
          <w:szCs w:val="22"/>
        </w:rPr>
        <w:t>:</w:t>
      </w:r>
    </w:p>
    <w:p w14:paraId="324DF92B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final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submission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date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spring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semester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our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is:</w:t>
      </w:r>
    </w:p>
    <w:p w14:paraId="745CA3E9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-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those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have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completed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maximum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period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(6th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semester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7th-8th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semester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have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extended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their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semesters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):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June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27, 2025</w:t>
      </w:r>
    </w:p>
    <w:p w14:paraId="210911D0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-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other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: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August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29, 2025.</w:t>
      </w:r>
    </w:p>
    <w:p w14:paraId="73FD2F40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</w:p>
    <w:p w14:paraId="530AB085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Pursuant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decision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of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University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Senate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dated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August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26, 2021;</w:t>
      </w:r>
    </w:p>
    <w:p w14:paraId="5C22CB56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</w:p>
    <w:p w14:paraId="3DDF8719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Effective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from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2021-2022 Fall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Semester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,</w:t>
      </w:r>
    </w:p>
    <w:p w14:paraId="434E904A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</w:p>
    <w:p w14:paraId="3802484A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•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doctoral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programs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a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research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article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accepted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an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international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peer-reviewed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journal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prior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exam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,</w:t>
      </w:r>
    </w:p>
    <w:p w14:paraId="4A9C1DD1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•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master's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programs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a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research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article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submitted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national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international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peer-reviewed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journal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is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required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</w:p>
    <w:p w14:paraId="6230BA15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</w:p>
    <w:p w14:paraId="025FABB2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procedures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that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will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take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exam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follow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regarding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submission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are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listed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below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:</w:t>
      </w:r>
    </w:p>
    <w:p w14:paraId="2B4A8D01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• 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least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two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weeks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before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exam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date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Master's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Jury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Assignment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submitted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Secretary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along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transcript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jury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include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least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one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external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member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in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addition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advisor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committee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appointment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approved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advisor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department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chair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exam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cannot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taken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without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submitting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Committee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Appointment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completing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all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courses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successfully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</w:p>
    <w:p w14:paraId="661021D3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•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Theses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prepared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in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accordance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“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Writing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Guide”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found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under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“Forms”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heading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on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our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website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 format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check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performed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prior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printing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Theses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that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have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not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undergone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 format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check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will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not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accepted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(Since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check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may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take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up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one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week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time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frame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should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taken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consideration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when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submitting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.)</w:t>
      </w:r>
    </w:p>
    <w:p w14:paraId="13EE90EB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• 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of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Exam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if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is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deemed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successful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Exam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Record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Approval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signed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exam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committee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 (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current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forms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in Word format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under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“Forms”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heading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used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.)</w:t>
      </w:r>
    </w:p>
    <w:p w14:paraId="423A451D" w14:textId="1E6FBE79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hyperlink r:id="rId5" w:history="1">
        <w:r w:rsidRPr="001A5317">
          <w:rPr>
            <w:rStyle w:val="Kpr"/>
            <w:rFonts w:asciiTheme="minorHAnsi" w:hAnsiTheme="minorHAnsi" w:cstheme="minorHAnsi"/>
            <w:bCs/>
            <w:spacing w:val="-2"/>
            <w:sz w:val="22"/>
            <w:szCs w:val="22"/>
          </w:rPr>
          <w:t>https://uskudar.edu.tr/sbe/formlar</w:t>
        </w:r>
      </w:hyperlink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</w:p>
    <w:p w14:paraId="507A36C9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lastRenderedPageBreak/>
        <w:t xml:space="preserve">•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All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forms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filled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out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on a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computer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Handwritten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forms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will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not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accepted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</w:p>
    <w:p w14:paraId="7B94A145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•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successfully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pass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their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in Word format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esen.aktas@uskudar.edu.tr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ayse.satir@uskudar.edu.tr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checking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After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checking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necessary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corrections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made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be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resubmitted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sertac.temur@uskudar.edu.tr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final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review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approval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before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printing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</w:p>
    <w:p w14:paraId="0FFBD59F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•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Students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who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receive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rejection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an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extension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at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of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exam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must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exam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record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wet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signature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Institute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within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5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business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days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</w:p>
    <w:p w14:paraId="4B3EEA7C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</w:p>
    <w:p w14:paraId="47B679F4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•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Within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30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days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of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defense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date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(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taking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into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account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announced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final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submission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date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)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after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completing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necessary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corrections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;</w:t>
      </w:r>
    </w:p>
    <w:p w14:paraId="3E71567D" w14:textId="77777777" w:rsidR="003F30A8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a)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One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CD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containing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two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separate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PDF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files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saved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as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follows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;</w:t>
      </w:r>
    </w:p>
    <w:p w14:paraId="2C18F481" w14:textId="1D0FD2E1" w:rsidR="00D6409A" w:rsidRPr="003F30A8" w:rsidRDefault="003F30A8" w:rsidP="003F30A8">
      <w:pPr>
        <w:pStyle w:val="GvdeMetni"/>
        <w:spacing w:before="118"/>
        <w:ind w:right="208"/>
        <w:jc w:val="both"/>
        <w:rPr>
          <w:rFonts w:asciiTheme="minorHAnsi" w:hAnsiTheme="minorHAnsi" w:cstheme="minorHAnsi"/>
          <w:sz w:val="22"/>
          <w:szCs w:val="22"/>
        </w:rPr>
      </w:pPr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*A PDF file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containing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entire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signed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thesis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approval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form,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and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all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proofErr w:type="spellStart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appendices</w:t>
      </w:r>
      <w:proofErr w:type="spellEnd"/>
      <w:r w:rsidRPr="003F30A8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</w:p>
    <w:p w14:paraId="5348A1FF" w14:textId="77777777" w:rsidR="00D6409A" w:rsidRDefault="00D6409A">
      <w:pPr>
        <w:pStyle w:val="GvdeMetni"/>
        <w:spacing w:before="118"/>
        <w:ind w:right="208"/>
        <w:jc w:val="both"/>
        <w:rPr>
          <w:rFonts w:asciiTheme="minorHAnsi" w:hAnsiTheme="minorHAnsi" w:cstheme="minorHAnsi"/>
          <w:sz w:val="22"/>
          <w:szCs w:val="22"/>
        </w:rPr>
      </w:pPr>
    </w:p>
    <w:p w14:paraId="1825396C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* </w:t>
      </w:r>
      <w:proofErr w:type="spellStart"/>
      <w:r w:rsidRPr="003F30A8">
        <w:rPr>
          <w:rFonts w:asciiTheme="minorHAnsi" w:hAnsiTheme="minorHAnsi" w:cstheme="minorHAnsi"/>
        </w:rPr>
        <w:t>For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uploading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YÖK </w:t>
      </w:r>
      <w:proofErr w:type="spellStart"/>
      <w:r w:rsidRPr="003F30A8">
        <w:rPr>
          <w:rFonts w:asciiTheme="minorHAnsi" w:hAnsiTheme="minorHAnsi" w:cstheme="minorHAnsi"/>
        </w:rPr>
        <w:t>National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Center,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full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text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in PDF format (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approval</w:t>
      </w:r>
      <w:proofErr w:type="spellEnd"/>
      <w:r w:rsidRPr="003F30A8">
        <w:rPr>
          <w:rFonts w:asciiTheme="minorHAnsi" w:hAnsiTheme="minorHAnsi" w:cstheme="minorHAnsi"/>
        </w:rPr>
        <w:t xml:space="preserve"> form </w:t>
      </w:r>
      <w:proofErr w:type="spellStart"/>
      <w:r w:rsidRPr="003F30A8">
        <w:rPr>
          <w:rFonts w:asciiTheme="minorHAnsi" w:hAnsiTheme="minorHAnsi" w:cstheme="minorHAnsi"/>
        </w:rPr>
        <w:t>and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documents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signed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under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KVKK, CV, </w:t>
      </w:r>
      <w:proofErr w:type="spellStart"/>
      <w:r w:rsidRPr="003F30A8">
        <w:rPr>
          <w:rFonts w:asciiTheme="minorHAnsi" w:hAnsiTheme="minorHAnsi" w:cstheme="minorHAnsi"/>
        </w:rPr>
        <w:t>email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phone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number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photo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place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birth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date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birth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etc</w:t>
      </w:r>
      <w:proofErr w:type="spellEnd"/>
      <w:r w:rsidRPr="003F30A8">
        <w:rPr>
          <w:rFonts w:asciiTheme="minorHAnsi" w:hAnsiTheme="minorHAnsi" w:cstheme="minorHAnsi"/>
        </w:rPr>
        <w:t xml:space="preserve">. </w:t>
      </w:r>
      <w:proofErr w:type="spellStart"/>
      <w:r w:rsidRPr="003F30A8">
        <w:rPr>
          <w:rFonts w:asciiTheme="minorHAnsi" w:hAnsiTheme="minorHAnsi" w:cstheme="minorHAnsi"/>
        </w:rPr>
        <w:t>will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masked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or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removed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and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file name </w:t>
      </w:r>
      <w:proofErr w:type="spellStart"/>
      <w:r w:rsidRPr="003F30A8">
        <w:rPr>
          <w:rFonts w:asciiTheme="minorHAnsi" w:hAnsiTheme="minorHAnsi" w:cstheme="minorHAnsi"/>
        </w:rPr>
        <w:t>will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saved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with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reference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number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found</w:t>
      </w:r>
      <w:proofErr w:type="spellEnd"/>
      <w:r w:rsidRPr="003F30A8">
        <w:rPr>
          <w:rFonts w:asciiTheme="minorHAnsi" w:hAnsiTheme="minorHAnsi" w:cstheme="minorHAnsi"/>
        </w:rPr>
        <w:t xml:space="preserve"> in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Data </w:t>
      </w:r>
      <w:proofErr w:type="spellStart"/>
      <w:r w:rsidRPr="003F30A8">
        <w:rPr>
          <w:rFonts w:asciiTheme="minorHAnsi" w:hAnsiTheme="minorHAnsi" w:cstheme="minorHAnsi"/>
        </w:rPr>
        <w:t>Entry</w:t>
      </w:r>
      <w:proofErr w:type="spellEnd"/>
      <w:r w:rsidRPr="003F30A8">
        <w:rPr>
          <w:rFonts w:asciiTheme="minorHAnsi" w:hAnsiTheme="minorHAnsi" w:cstheme="minorHAnsi"/>
        </w:rPr>
        <w:t xml:space="preserve"> Form).</w:t>
      </w:r>
    </w:p>
    <w:p w14:paraId="6718AB7D" w14:textId="44794008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a) </w:t>
      </w:r>
      <w:proofErr w:type="spellStart"/>
      <w:r w:rsidRPr="003F30A8">
        <w:rPr>
          <w:rFonts w:asciiTheme="minorHAnsi" w:hAnsiTheme="minorHAnsi" w:cstheme="minorHAnsi"/>
        </w:rPr>
        <w:t>One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copy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“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Data </w:t>
      </w:r>
      <w:proofErr w:type="spellStart"/>
      <w:r w:rsidRPr="003F30A8">
        <w:rPr>
          <w:rFonts w:asciiTheme="minorHAnsi" w:hAnsiTheme="minorHAnsi" w:cstheme="minorHAnsi"/>
        </w:rPr>
        <w:t>Entry</w:t>
      </w:r>
      <w:proofErr w:type="spellEnd"/>
      <w:r w:rsidRPr="003F30A8">
        <w:rPr>
          <w:rFonts w:asciiTheme="minorHAnsi" w:hAnsiTheme="minorHAnsi" w:cstheme="minorHAnsi"/>
        </w:rPr>
        <w:t xml:space="preserve"> Form” </w:t>
      </w:r>
      <w:proofErr w:type="spellStart"/>
      <w:r w:rsidRPr="003F30A8">
        <w:rPr>
          <w:rFonts w:asciiTheme="minorHAnsi" w:hAnsiTheme="minorHAnsi" w:cstheme="minorHAnsi"/>
        </w:rPr>
        <w:t>downloaded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from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hyperlink r:id="rId6" w:history="1">
        <w:r w:rsidRPr="001A5317">
          <w:rPr>
            <w:rStyle w:val="Kpr"/>
            <w:rFonts w:asciiTheme="minorHAnsi" w:hAnsiTheme="minorHAnsi" w:cstheme="minorHAnsi"/>
          </w:rPr>
          <w:t>http://tez2.yok.gov.tr/</w:t>
        </w:r>
      </w:hyperlink>
      <w:r>
        <w:rPr>
          <w:rFonts w:asciiTheme="minorHAnsi" w:hAnsiTheme="minorHAnsi" w:cstheme="minorHAnsi"/>
        </w:rPr>
        <w:t xml:space="preserve"> </w:t>
      </w:r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filled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out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and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signed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by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student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3877D0A6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b)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Approval</w:t>
      </w:r>
      <w:proofErr w:type="spellEnd"/>
      <w:r w:rsidRPr="003F30A8">
        <w:rPr>
          <w:rFonts w:asciiTheme="minorHAnsi" w:hAnsiTheme="minorHAnsi" w:cstheme="minorHAnsi"/>
        </w:rPr>
        <w:t xml:space="preserve"> Form (2 </w:t>
      </w:r>
      <w:proofErr w:type="spellStart"/>
      <w:r w:rsidRPr="003F30A8">
        <w:rPr>
          <w:rFonts w:asciiTheme="minorHAnsi" w:hAnsiTheme="minorHAnsi" w:cstheme="minorHAnsi"/>
        </w:rPr>
        <w:t>copies</w:t>
      </w:r>
      <w:proofErr w:type="spellEnd"/>
      <w:r w:rsidRPr="003F30A8">
        <w:rPr>
          <w:rFonts w:asciiTheme="minorHAnsi" w:hAnsiTheme="minorHAnsi" w:cstheme="minorHAnsi"/>
        </w:rPr>
        <w:t xml:space="preserve">).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spaces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for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Institute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Director's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approval</w:t>
      </w:r>
      <w:proofErr w:type="spellEnd"/>
      <w:r w:rsidRPr="003F30A8">
        <w:rPr>
          <w:rFonts w:asciiTheme="minorHAnsi" w:hAnsiTheme="minorHAnsi" w:cstheme="minorHAnsi"/>
        </w:rPr>
        <w:t xml:space="preserve"> at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bottom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form </w:t>
      </w:r>
      <w:proofErr w:type="spellStart"/>
      <w:r w:rsidRPr="003F30A8">
        <w:rPr>
          <w:rFonts w:asciiTheme="minorHAnsi" w:hAnsiTheme="minorHAnsi" w:cstheme="minorHAnsi"/>
        </w:rPr>
        <w:t>will</w:t>
      </w:r>
      <w:proofErr w:type="spellEnd"/>
      <w:r w:rsidRPr="003F30A8">
        <w:rPr>
          <w:rFonts w:asciiTheme="minorHAnsi" w:hAnsiTheme="minorHAnsi" w:cstheme="minorHAnsi"/>
        </w:rPr>
        <w:t xml:space="preserve"> not be </w:t>
      </w:r>
      <w:proofErr w:type="spellStart"/>
      <w:r w:rsidRPr="003F30A8">
        <w:rPr>
          <w:rFonts w:asciiTheme="minorHAnsi" w:hAnsiTheme="minorHAnsi" w:cstheme="minorHAnsi"/>
        </w:rPr>
        <w:t>filled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out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or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signed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678C3BE8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c) </w:t>
      </w:r>
      <w:proofErr w:type="spellStart"/>
      <w:r w:rsidRPr="003F30A8">
        <w:rPr>
          <w:rFonts w:asciiTheme="minorHAnsi" w:hAnsiTheme="minorHAnsi" w:cstheme="minorHAnsi"/>
        </w:rPr>
        <w:t>Approved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Defense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Exam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Record</w:t>
      </w:r>
      <w:proofErr w:type="spellEnd"/>
      <w:r w:rsidRPr="003F30A8">
        <w:rPr>
          <w:rFonts w:asciiTheme="minorHAnsi" w:hAnsiTheme="minorHAnsi" w:cstheme="minorHAnsi"/>
        </w:rPr>
        <w:t xml:space="preserve"> (1 </w:t>
      </w:r>
      <w:proofErr w:type="spellStart"/>
      <w:r w:rsidRPr="003F30A8">
        <w:rPr>
          <w:rFonts w:asciiTheme="minorHAnsi" w:hAnsiTheme="minorHAnsi" w:cstheme="minorHAnsi"/>
        </w:rPr>
        <w:t>copy</w:t>
      </w:r>
      <w:proofErr w:type="spellEnd"/>
      <w:r w:rsidRPr="003F30A8">
        <w:rPr>
          <w:rFonts w:asciiTheme="minorHAnsi" w:hAnsiTheme="minorHAnsi" w:cstheme="minorHAnsi"/>
        </w:rPr>
        <w:t>)</w:t>
      </w:r>
    </w:p>
    <w:p w14:paraId="09E317B0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d) </w:t>
      </w:r>
      <w:proofErr w:type="spellStart"/>
      <w:r w:rsidRPr="003F30A8">
        <w:rPr>
          <w:rFonts w:asciiTheme="minorHAnsi" w:hAnsiTheme="minorHAnsi" w:cstheme="minorHAnsi"/>
        </w:rPr>
        <w:t>Plagiarism</w:t>
      </w:r>
      <w:proofErr w:type="spellEnd"/>
      <w:r w:rsidRPr="003F30A8">
        <w:rPr>
          <w:rFonts w:asciiTheme="minorHAnsi" w:hAnsiTheme="minorHAnsi" w:cstheme="minorHAnsi"/>
        </w:rPr>
        <w:t xml:space="preserve"> Report </w:t>
      </w:r>
      <w:proofErr w:type="spellStart"/>
      <w:r w:rsidRPr="003F30A8">
        <w:rPr>
          <w:rFonts w:asciiTheme="minorHAnsi" w:hAnsiTheme="minorHAnsi" w:cstheme="minorHAnsi"/>
        </w:rPr>
        <w:t>printout</w:t>
      </w:r>
      <w:proofErr w:type="spellEnd"/>
      <w:r w:rsidRPr="003F30A8">
        <w:rPr>
          <w:rFonts w:asciiTheme="minorHAnsi" w:hAnsiTheme="minorHAnsi" w:cstheme="minorHAnsi"/>
        </w:rPr>
        <w:t xml:space="preserve"> (</w:t>
      </w:r>
      <w:proofErr w:type="spellStart"/>
      <w:r w:rsidRPr="003F30A8">
        <w:rPr>
          <w:rFonts w:asciiTheme="minorHAnsi" w:hAnsiTheme="minorHAnsi" w:cstheme="minorHAnsi"/>
        </w:rPr>
        <w:t>Turnitin</w:t>
      </w:r>
      <w:proofErr w:type="spellEnd"/>
      <w:r w:rsidRPr="003F30A8">
        <w:rPr>
          <w:rFonts w:asciiTheme="minorHAnsi" w:hAnsiTheme="minorHAnsi" w:cstheme="minorHAnsi"/>
        </w:rPr>
        <w:t xml:space="preserve"> Report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obtained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plagiarism</w:t>
      </w:r>
      <w:proofErr w:type="spellEnd"/>
      <w:r w:rsidRPr="003F30A8">
        <w:rPr>
          <w:rFonts w:asciiTheme="minorHAnsi" w:hAnsiTheme="minorHAnsi" w:cstheme="minorHAnsi"/>
        </w:rPr>
        <w:t xml:space="preserve"> rate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below</w:t>
      </w:r>
      <w:proofErr w:type="spellEnd"/>
      <w:r w:rsidRPr="003F30A8">
        <w:rPr>
          <w:rFonts w:asciiTheme="minorHAnsi" w:hAnsiTheme="minorHAnsi" w:cstheme="minorHAnsi"/>
        </w:rPr>
        <w:t xml:space="preserve"> 25% (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quotation</w:t>
      </w:r>
      <w:proofErr w:type="spellEnd"/>
      <w:r w:rsidRPr="003F30A8">
        <w:rPr>
          <w:rFonts w:asciiTheme="minorHAnsi" w:hAnsiTheme="minorHAnsi" w:cstheme="minorHAnsi"/>
        </w:rPr>
        <w:t xml:space="preserve"> rate </w:t>
      </w:r>
      <w:proofErr w:type="spellStart"/>
      <w:r w:rsidRPr="003F30A8">
        <w:rPr>
          <w:rFonts w:asciiTheme="minorHAnsi" w:hAnsiTheme="minorHAnsi" w:cstheme="minorHAnsi"/>
        </w:rPr>
        <w:t>from</w:t>
      </w:r>
      <w:proofErr w:type="spellEnd"/>
      <w:r w:rsidRPr="003F30A8">
        <w:rPr>
          <w:rFonts w:asciiTheme="minorHAnsi" w:hAnsiTheme="minorHAnsi" w:cstheme="minorHAnsi"/>
        </w:rPr>
        <w:t xml:space="preserve"> a </w:t>
      </w:r>
      <w:proofErr w:type="spellStart"/>
      <w:r w:rsidRPr="003F30A8">
        <w:rPr>
          <w:rFonts w:asciiTheme="minorHAnsi" w:hAnsiTheme="minorHAnsi" w:cstheme="minorHAnsi"/>
        </w:rPr>
        <w:t>single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source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not </w:t>
      </w:r>
      <w:proofErr w:type="spellStart"/>
      <w:r w:rsidRPr="003F30A8">
        <w:rPr>
          <w:rFonts w:asciiTheme="minorHAnsi" w:hAnsiTheme="minorHAnsi" w:cstheme="minorHAnsi"/>
        </w:rPr>
        <w:t>exceed</w:t>
      </w:r>
      <w:proofErr w:type="spellEnd"/>
      <w:r w:rsidRPr="003F30A8">
        <w:rPr>
          <w:rFonts w:asciiTheme="minorHAnsi" w:hAnsiTheme="minorHAnsi" w:cstheme="minorHAnsi"/>
        </w:rPr>
        <w:t xml:space="preserve"> 4%),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student's</w:t>
      </w:r>
      <w:proofErr w:type="spellEnd"/>
      <w:r w:rsidRPr="003F30A8">
        <w:rPr>
          <w:rFonts w:asciiTheme="minorHAnsi" w:hAnsiTheme="minorHAnsi" w:cstheme="minorHAnsi"/>
        </w:rPr>
        <w:t xml:space="preserve"> name </w:t>
      </w:r>
      <w:proofErr w:type="spellStart"/>
      <w:r w:rsidRPr="003F30A8">
        <w:rPr>
          <w:rFonts w:asciiTheme="minorHAnsi" w:hAnsiTheme="minorHAnsi" w:cstheme="minorHAnsi"/>
        </w:rPr>
        <w:t>and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surname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indicated</w:t>
      </w:r>
      <w:proofErr w:type="spellEnd"/>
      <w:r w:rsidRPr="003F30A8">
        <w:rPr>
          <w:rFonts w:asciiTheme="minorHAnsi" w:hAnsiTheme="minorHAnsi" w:cstheme="minorHAnsi"/>
        </w:rPr>
        <w:t xml:space="preserve"> in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report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and</w:t>
      </w:r>
      <w:proofErr w:type="spellEnd"/>
      <w:r w:rsidRPr="003F30A8">
        <w:rPr>
          <w:rFonts w:asciiTheme="minorHAnsi" w:hAnsiTheme="minorHAnsi" w:cstheme="minorHAnsi"/>
        </w:rPr>
        <w:t xml:space="preserve"> it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signed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by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advisor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68107DB2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proofErr w:type="spellStart"/>
      <w:r w:rsidRPr="003F30A8">
        <w:rPr>
          <w:rFonts w:asciiTheme="minorHAnsi" w:hAnsiTheme="minorHAnsi" w:cstheme="minorHAnsi"/>
        </w:rPr>
        <w:t>It</w:t>
      </w:r>
      <w:proofErr w:type="spellEnd"/>
      <w:r w:rsidRPr="003F30A8">
        <w:rPr>
          <w:rFonts w:asciiTheme="minorHAnsi" w:hAnsiTheme="minorHAnsi" w:cstheme="minorHAnsi"/>
        </w:rPr>
        <w:t xml:space="preserve"> is not </w:t>
      </w:r>
      <w:proofErr w:type="spellStart"/>
      <w:r w:rsidRPr="003F30A8">
        <w:rPr>
          <w:rFonts w:asciiTheme="minorHAnsi" w:hAnsiTheme="minorHAnsi" w:cstheme="minorHAnsi"/>
        </w:rPr>
        <w:t>necessary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print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entire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plagiarism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report</w:t>
      </w:r>
      <w:proofErr w:type="spellEnd"/>
      <w:r w:rsidRPr="003F30A8">
        <w:rPr>
          <w:rFonts w:asciiTheme="minorHAnsi" w:hAnsiTheme="minorHAnsi" w:cstheme="minorHAnsi"/>
        </w:rPr>
        <w:t xml:space="preserve">;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cover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page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and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pages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showing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percentage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rates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are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sufficient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5BB30FCC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e)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Format </w:t>
      </w:r>
      <w:proofErr w:type="spellStart"/>
      <w:r w:rsidRPr="003F30A8">
        <w:rPr>
          <w:rFonts w:asciiTheme="minorHAnsi" w:hAnsiTheme="minorHAnsi" w:cstheme="minorHAnsi"/>
        </w:rPr>
        <w:t>Review</w:t>
      </w:r>
      <w:proofErr w:type="spellEnd"/>
      <w:r w:rsidRPr="003F30A8">
        <w:rPr>
          <w:rFonts w:asciiTheme="minorHAnsi" w:hAnsiTheme="minorHAnsi" w:cstheme="minorHAnsi"/>
        </w:rPr>
        <w:t xml:space="preserve"> Form </w:t>
      </w:r>
      <w:proofErr w:type="spellStart"/>
      <w:r w:rsidRPr="003F30A8">
        <w:rPr>
          <w:rFonts w:asciiTheme="minorHAnsi" w:hAnsiTheme="minorHAnsi" w:cstheme="minorHAnsi"/>
        </w:rPr>
        <w:t>to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filled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out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by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advisor</w:t>
      </w:r>
      <w:proofErr w:type="spellEnd"/>
      <w:r w:rsidRPr="003F30A8">
        <w:rPr>
          <w:rFonts w:asciiTheme="minorHAnsi" w:hAnsiTheme="minorHAnsi" w:cstheme="minorHAnsi"/>
        </w:rPr>
        <w:t xml:space="preserve"> (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will</w:t>
      </w:r>
      <w:proofErr w:type="spellEnd"/>
      <w:r w:rsidRPr="003F30A8">
        <w:rPr>
          <w:rFonts w:asciiTheme="minorHAnsi" w:hAnsiTheme="minorHAnsi" w:cstheme="minorHAnsi"/>
        </w:rPr>
        <w:t xml:space="preserve"> not be </w:t>
      </w:r>
      <w:proofErr w:type="spellStart"/>
      <w:r w:rsidRPr="003F30A8">
        <w:rPr>
          <w:rFonts w:asciiTheme="minorHAnsi" w:hAnsiTheme="minorHAnsi" w:cstheme="minorHAnsi"/>
        </w:rPr>
        <w:t>accepted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if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form is </w:t>
      </w:r>
      <w:proofErr w:type="spellStart"/>
      <w:r w:rsidRPr="003F30A8">
        <w:rPr>
          <w:rFonts w:asciiTheme="minorHAnsi" w:hAnsiTheme="minorHAnsi" w:cstheme="minorHAnsi"/>
        </w:rPr>
        <w:t>incomplete</w:t>
      </w:r>
      <w:proofErr w:type="spellEnd"/>
      <w:r w:rsidRPr="003F30A8">
        <w:rPr>
          <w:rFonts w:asciiTheme="minorHAnsi" w:hAnsiTheme="minorHAnsi" w:cstheme="minorHAnsi"/>
        </w:rPr>
        <w:t>)</w:t>
      </w:r>
    </w:p>
    <w:p w14:paraId="7F71E1CB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f)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Submission</w:t>
      </w:r>
      <w:proofErr w:type="spellEnd"/>
      <w:r w:rsidRPr="003F30A8">
        <w:rPr>
          <w:rFonts w:asciiTheme="minorHAnsi" w:hAnsiTheme="minorHAnsi" w:cstheme="minorHAnsi"/>
        </w:rPr>
        <w:t xml:space="preserve"> Form,</w:t>
      </w:r>
    </w:p>
    <w:p w14:paraId="4EF01D09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g)    A </w:t>
      </w:r>
      <w:proofErr w:type="spellStart"/>
      <w:r w:rsidRPr="003F30A8">
        <w:rPr>
          <w:rFonts w:asciiTheme="minorHAnsi" w:hAnsiTheme="minorHAnsi" w:cstheme="minorHAnsi"/>
        </w:rPr>
        <w:t>screenshot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confirming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that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research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article</w:t>
      </w:r>
      <w:proofErr w:type="spellEnd"/>
      <w:r w:rsidRPr="003F30A8">
        <w:rPr>
          <w:rFonts w:asciiTheme="minorHAnsi" w:hAnsiTheme="minorHAnsi" w:cstheme="minorHAnsi"/>
        </w:rPr>
        <w:t xml:space="preserve"> has </w:t>
      </w:r>
      <w:proofErr w:type="spellStart"/>
      <w:r w:rsidRPr="003F30A8">
        <w:rPr>
          <w:rFonts w:asciiTheme="minorHAnsi" w:hAnsiTheme="minorHAnsi" w:cstheme="minorHAnsi"/>
        </w:rPr>
        <w:t>been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submitted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journal</w:t>
      </w:r>
      <w:proofErr w:type="spellEnd"/>
      <w:r w:rsidRPr="003F30A8">
        <w:rPr>
          <w:rFonts w:asciiTheme="minorHAnsi" w:hAnsiTheme="minorHAnsi" w:cstheme="minorHAnsi"/>
        </w:rPr>
        <w:t xml:space="preserve"> in </w:t>
      </w:r>
      <w:proofErr w:type="spellStart"/>
      <w:r w:rsidRPr="003F30A8">
        <w:rPr>
          <w:rFonts w:asciiTheme="minorHAnsi" w:hAnsiTheme="minorHAnsi" w:cstheme="minorHAnsi"/>
        </w:rPr>
        <w:t>thesis-based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master's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programs</w:t>
      </w:r>
      <w:proofErr w:type="spellEnd"/>
      <w:r w:rsidRPr="003F30A8">
        <w:rPr>
          <w:rFonts w:asciiTheme="minorHAnsi" w:hAnsiTheme="minorHAnsi" w:cstheme="minorHAnsi"/>
        </w:rPr>
        <w:t>,</w:t>
      </w:r>
    </w:p>
    <w:p w14:paraId="6C96B882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h)    </w:t>
      </w:r>
      <w:proofErr w:type="spellStart"/>
      <w:r w:rsidRPr="003F30A8">
        <w:rPr>
          <w:rFonts w:asciiTheme="minorHAnsi" w:hAnsiTheme="minorHAnsi" w:cstheme="minorHAnsi"/>
        </w:rPr>
        <w:t>One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bound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copy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(</w:t>
      </w:r>
      <w:proofErr w:type="spellStart"/>
      <w:r w:rsidRPr="003F30A8">
        <w:rPr>
          <w:rFonts w:asciiTheme="minorHAnsi" w:hAnsiTheme="minorHAnsi" w:cstheme="minorHAnsi"/>
        </w:rPr>
        <w:t>two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copies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for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doctoral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programs</w:t>
      </w:r>
      <w:proofErr w:type="spellEnd"/>
      <w:r w:rsidRPr="003F30A8">
        <w:rPr>
          <w:rFonts w:asciiTheme="minorHAnsi" w:hAnsiTheme="minorHAnsi" w:cstheme="minorHAnsi"/>
        </w:rPr>
        <w:t>)</w:t>
      </w:r>
    </w:p>
    <w:p w14:paraId="6D31560D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i)   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wet-signed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version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Approval</w:t>
      </w:r>
      <w:proofErr w:type="spellEnd"/>
      <w:r w:rsidRPr="003F30A8">
        <w:rPr>
          <w:rFonts w:asciiTheme="minorHAnsi" w:hAnsiTheme="minorHAnsi" w:cstheme="minorHAnsi"/>
        </w:rPr>
        <w:t xml:space="preserve"> Form </w:t>
      </w:r>
      <w:proofErr w:type="spellStart"/>
      <w:r w:rsidRPr="003F30A8">
        <w:rPr>
          <w:rFonts w:asciiTheme="minorHAnsi" w:hAnsiTheme="minorHAnsi" w:cstheme="minorHAnsi"/>
        </w:rPr>
        <w:t>will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used</w:t>
      </w:r>
      <w:proofErr w:type="spellEnd"/>
      <w:r w:rsidRPr="003F30A8">
        <w:rPr>
          <w:rFonts w:asciiTheme="minorHAnsi" w:hAnsiTheme="minorHAnsi" w:cstheme="minorHAnsi"/>
        </w:rPr>
        <w:t xml:space="preserve"> inside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bound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18BF1042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j)   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ethics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committee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approval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document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attached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appendices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74DF7E3A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k)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submitted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Institute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Secretariat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located</w:t>
      </w:r>
      <w:proofErr w:type="spellEnd"/>
      <w:r w:rsidRPr="003F30A8">
        <w:rPr>
          <w:rFonts w:asciiTheme="minorHAnsi" w:hAnsiTheme="minorHAnsi" w:cstheme="minorHAnsi"/>
        </w:rPr>
        <w:t xml:space="preserve"> on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3rd </w:t>
      </w:r>
      <w:proofErr w:type="spellStart"/>
      <w:r w:rsidRPr="003F30A8">
        <w:rPr>
          <w:rFonts w:asciiTheme="minorHAnsi" w:hAnsiTheme="minorHAnsi" w:cstheme="minorHAnsi"/>
        </w:rPr>
        <w:t>floor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Çarşı </w:t>
      </w:r>
      <w:proofErr w:type="spellStart"/>
      <w:r w:rsidRPr="003F30A8">
        <w:rPr>
          <w:rFonts w:asciiTheme="minorHAnsi" w:hAnsiTheme="minorHAnsi" w:cstheme="minorHAnsi"/>
        </w:rPr>
        <w:t>Campus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3CFA777F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proofErr w:type="spellStart"/>
      <w:r w:rsidRPr="003F30A8">
        <w:rPr>
          <w:rFonts w:asciiTheme="minorHAnsi" w:hAnsiTheme="minorHAnsi" w:cstheme="minorHAnsi"/>
        </w:rPr>
        <w:t>Students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who</w:t>
      </w:r>
      <w:proofErr w:type="spellEnd"/>
      <w:r w:rsidRPr="003F30A8">
        <w:rPr>
          <w:rFonts w:asciiTheme="minorHAnsi" w:hAnsiTheme="minorHAnsi" w:cstheme="minorHAnsi"/>
        </w:rPr>
        <w:t xml:space="preserve"> fail </w:t>
      </w:r>
      <w:proofErr w:type="spellStart"/>
      <w:r w:rsidRPr="003F30A8">
        <w:rPr>
          <w:rFonts w:asciiTheme="minorHAnsi" w:hAnsiTheme="minorHAnsi" w:cstheme="minorHAnsi"/>
        </w:rPr>
        <w:t>to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submit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their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within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one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month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after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defense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exam</w:t>
      </w:r>
      <w:proofErr w:type="spellEnd"/>
      <w:r w:rsidRPr="003F30A8">
        <w:rPr>
          <w:rFonts w:asciiTheme="minorHAnsi" w:hAnsiTheme="minorHAnsi" w:cstheme="minorHAnsi"/>
        </w:rPr>
        <w:t xml:space="preserve">, as </w:t>
      </w:r>
      <w:proofErr w:type="spellStart"/>
      <w:r w:rsidRPr="003F30A8">
        <w:rPr>
          <w:rFonts w:asciiTheme="minorHAnsi" w:hAnsiTheme="minorHAnsi" w:cstheme="minorHAnsi"/>
        </w:rPr>
        <w:t>specified</w:t>
      </w:r>
      <w:proofErr w:type="spellEnd"/>
      <w:r w:rsidRPr="003F30A8">
        <w:rPr>
          <w:rFonts w:asciiTheme="minorHAnsi" w:hAnsiTheme="minorHAnsi" w:cstheme="minorHAnsi"/>
        </w:rPr>
        <w:t xml:space="preserve"> in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regulations</w:t>
      </w:r>
      <w:proofErr w:type="spellEnd"/>
      <w:r w:rsidRPr="003F30A8">
        <w:rPr>
          <w:rFonts w:asciiTheme="minorHAnsi" w:hAnsiTheme="minorHAnsi" w:cstheme="minorHAnsi"/>
        </w:rPr>
        <w:t xml:space="preserve"> (</w:t>
      </w:r>
      <w:proofErr w:type="spellStart"/>
      <w:r w:rsidRPr="003F30A8">
        <w:rPr>
          <w:rFonts w:asciiTheme="minorHAnsi" w:hAnsiTheme="minorHAnsi" w:cstheme="minorHAnsi"/>
        </w:rPr>
        <w:t>except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for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those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who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have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reached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maximum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period</w:t>
      </w:r>
      <w:proofErr w:type="spellEnd"/>
      <w:r w:rsidRPr="003F30A8">
        <w:rPr>
          <w:rFonts w:asciiTheme="minorHAnsi" w:hAnsiTheme="minorHAnsi" w:cstheme="minorHAnsi"/>
        </w:rPr>
        <w:t xml:space="preserve">),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take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defense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exam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again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6FC729DC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</w:p>
    <w:p w14:paraId="469DDE3F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•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title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same</w:t>
      </w:r>
      <w:proofErr w:type="spellEnd"/>
      <w:r w:rsidRPr="003F30A8">
        <w:rPr>
          <w:rFonts w:asciiTheme="minorHAnsi" w:hAnsiTheme="minorHAnsi" w:cstheme="minorHAnsi"/>
        </w:rPr>
        <w:t xml:space="preserve"> in </w:t>
      </w:r>
      <w:proofErr w:type="spellStart"/>
      <w:r w:rsidRPr="003F30A8">
        <w:rPr>
          <w:rFonts w:asciiTheme="minorHAnsi" w:hAnsiTheme="minorHAnsi" w:cstheme="minorHAnsi"/>
        </w:rPr>
        <w:t>all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documents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31640482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• </w:t>
      </w:r>
      <w:proofErr w:type="spellStart"/>
      <w:r w:rsidRPr="003F30A8">
        <w:rPr>
          <w:rFonts w:asciiTheme="minorHAnsi" w:hAnsiTheme="minorHAnsi" w:cstheme="minorHAnsi"/>
        </w:rPr>
        <w:t>Passing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defense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exam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does</w:t>
      </w:r>
      <w:proofErr w:type="spellEnd"/>
      <w:r w:rsidRPr="003F30A8">
        <w:rPr>
          <w:rFonts w:asciiTheme="minorHAnsi" w:hAnsiTheme="minorHAnsi" w:cstheme="minorHAnsi"/>
        </w:rPr>
        <w:t xml:space="preserve"> not </w:t>
      </w:r>
      <w:proofErr w:type="spellStart"/>
      <w:r w:rsidRPr="003F30A8">
        <w:rPr>
          <w:rFonts w:asciiTheme="minorHAnsi" w:hAnsiTheme="minorHAnsi" w:cstheme="minorHAnsi"/>
        </w:rPr>
        <w:t>mean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graduation</w:t>
      </w:r>
      <w:proofErr w:type="spellEnd"/>
      <w:r w:rsidRPr="003F30A8">
        <w:rPr>
          <w:rFonts w:asciiTheme="minorHAnsi" w:hAnsiTheme="minorHAnsi" w:cstheme="minorHAnsi"/>
        </w:rPr>
        <w:t xml:space="preserve">. </w:t>
      </w:r>
      <w:proofErr w:type="spellStart"/>
      <w:r w:rsidRPr="003F30A8">
        <w:rPr>
          <w:rFonts w:asciiTheme="minorHAnsi" w:hAnsiTheme="minorHAnsi" w:cstheme="minorHAnsi"/>
        </w:rPr>
        <w:t>For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graduation</w:t>
      </w:r>
      <w:proofErr w:type="spellEnd"/>
      <w:r w:rsidRPr="003F30A8">
        <w:rPr>
          <w:rFonts w:asciiTheme="minorHAnsi" w:hAnsiTheme="minorHAnsi" w:cstheme="minorHAnsi"/>
        </w:rPr>
        <w:t xml:space="preserve">,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must</w:t>
      </w:r>
      <w:proofErr w:type="spellEnd"/>
      <w:r w:rsidRPr="003F30A8">
        <w:rPr>
          <w:rFonts w:asciiTheme="minorHAnsi" w:hAnsiTheme="minorHAnsi" w:cstheme="minorHAnsi"/>
        </w:rPr>
        <w:t xml:space="preserve"> be </w:t>
      </w:r>
      <w:proofErr w:type="spellStart"/>
      <w:r w:rsidRPr="003F30A8">
        <w:rPr>
          <w:rFonts w:asciiTheme="minorHAnsi" w:hAnsiTheme="minorHAnsi" w:cstheme="minorHAnsi"/>
        </w:rPr>
        <w:t>submitted</w:t>
      </w:r>
      <w:proofErr w:type="spellEnd"/>
      <w:r w:rsidRPr="003F30A8">
        <w:rPr>
          <w:rFonts w:asciiTheme="minorHAnsi" w:hAnsiTheme="minorHAnsi" w:cstheme="minorHAnsi"/>
        </w:rPr>
        <w:t xml:space="preserve"> on time </w:t>
      </w:r>
      <w:proofErr w:type="spellStart"/>
      <w:r w:rsidRPr="003F30A8">
        <w:rPr>
          <w:rFonts w:asciiTheme="minorHAnsi" w:hAnsiTheme="minorHAnsi" w:cstheme="minorHAnsi"/>
        </w:rPr>
        <w:t>and</w:t>
      </w:r>
      <w:proofErr w:type="spellEnd"/>
      <w:r w:rsidRPr="003F30A8">
        <w:rPr>
          <w:rFonts w:asciiTheme="minorHAnsi" w:hAnsiTheme="minorHAnsi" w:cstheme="minorHAnsi"/>
        </w:rPr>
        <w:t xml:space="preserve"> in </w:t>
      </w:r>
      <w:proofErr w:type="spellStart"/>
      <w:r w:rsidRPr="003F30A8">
        <w:rPr>
          <w:rFonts w:asciiTheme="minorHAnsi" w:hAnsiTheme="minorHAnsi" w:cstheme="minorHAnsi"/>
        </w:rPr>
        <w:t>its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entirety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650DBF19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</w:p>
    <w:p w14:paraId="5B69140C" w14:textId="77777777" w:rsidR="003F30A8" w:rsidRPr="003F30A8" w:rsidRDefault="003F30A8" w:rsidP="004273CB">
      <w:pPr>
        <w:ind w:left="851" w:right="208"/>
        <w:jc w:val="both"/>
        <w:rPr>
          <w:rFonts w:asciiTheme="minorHAnsi" w:hAnsiTheme="minorHAnsi" w:cstheme="minorHAnsi"/>
        </w:rPr>
      </w:pPr>
      <w:r w:rsidRPr="003F30A8">
        <w:rPr>
          <w:rFonts w:asciiTheme="minorHAnsi" w:hAnsiTheme="minorHAnsi" w:cstheme="minorHAnsi"/>
        </w:rPr>
        <w:t xml:space="preserve">• </w:t>
      </w:r>
      <w:proofErr w:type="spellStart"/>
      <w:r w:rsidRPr="003F30A8">
        <w:rPr>
          <w:rFonts w:asciiTheme="minorHAnsi" w:hAnsiTheme="minorHAnsi" w:cstheme="minorHAnsi"/>
        </w:rPr>
        <w:t>Students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conducting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their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work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through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Provincial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Health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and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Provincial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National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Education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Directorates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are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required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submit</w:t>
      </w:r>
      <w:proofErr w:type="spellEnd"/>
      <w:r w:rsidRPr="003F30A8">
        <w:rPr>
          <w:rFonts w:asciiTheme="minorHAnsi" w:hAnsiTheme="minorHAnsi" w:cstheme="minorHAnsi"/>
        </w:rPr>
        <w:t xml:space="preserve"> a </w:t>
      </w:r>
      <w:proofErr w:type="spellStart"/>
      <w:r w:rsidRPr="003F30A8">
        <w:rPr>
          <w:rFonts w:asciiTheme="minorHAnsi" w:hAnsiTheme="minorHAnsi" w:cstheme="minorHAnsi"/>
        </w:rPr>
        <w:t>bound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copy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their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thesis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to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relevant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directorates</w:t>
      </w:r>
      <w:proofErr w:type="spellEnd"/>
      <w:r w:rsidRPr="003F30A8">
        <w:rPr>
          <w:rFonts w:asciiTheme="minorHAnsi" w:hAnsiTheme="minorHAnsi" w:cstheme="minorHAnsi"/>
        </w:rPr>
        <w:t xml:space="preserve"> in </w:t>
      </w:r>
      <w:proofErr w:type="spellStart"/>
      <w:r w:rsidRPr="003F30A8">
        <w:rPr>
          <w:rFonts w:asciiTheme="minorHAnsi" w:hAnsiTheme="minorHAnsi" w:cstheme="minorHAnsi"/>
        </w:rPr>
        <w:t>accordance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with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protocol</w:t>
      </w:r>
      <w:proofErr w:type="spellEnd"/>
      <w:r w:rsidRPr="003F30A8">
        <w:rPr>
          <w:rFonts w:asciiTheme="minorHAnsi" w:hAnsiTheme="minorHAnsi" w:cstheme="minorHAnsi"/>
        </w:rPr>
        <w:t>.</w:t>
      </w:r>
    </w:p>
    <w:p w14:paraId="62E4C5F6" w14:textId="201BEB19" w:rsidR="003F30A8" w:rsidRPr="003F30A8" w:rsidRDefault="003F30A8" w:rsidP="004273CB">
      <w:pPr>
        <w:ind w:right="208"/>
        <w:jc w:val="both"/>
        <w:rPr>
          <w:rFonts w:asciiTheme="minorHAnsi" w:hAnsiTheme="minorHAnsi" w:cstheme="minorHAnsi"/>
        </w:rPr>
      </w:pPr>
    </w:p>
    <w:p w14:paraId="6D0BF7AC" w14:textId="33C43586" w:rsidR="003F12E1" w:rsidRPr="00D35A07" w:rsidRDefault="003F30A8" w:rsidP="004273CB">
      <w:pPr>
        <w:ind w:left="851" w:right="208"/>
        <w:jc w:val="both"/>
        <w:rPr>
          <w:rFonts w:asciiTheme="minorHAnsi" w:hAnsiTheme="minorHAnsi" w:cstheme="minorHAnsi"/>
        </w:rPr>
        <w:sectPr w:rsidR="003F12E1" w:rsidRPr="00D35A07" w:rsidSect="00F026D5">
          <w:type w:val="continuous"/>
          <w:pgSz w:w="11940" w:h="16860"/>
          <w:pgMar w:top="840" w:right="540" w:bottom="280" w:left="560" w:header="708" w:footer="708" w:gutter="0"/>
          <w:pgBorders w:offsetFrom="page">
            <w:top w:val="dotted" w:sz="4" w:space="24" w:color="000000"/>
            <w:left w:val="dotted" w:sz="4" w:space="24" w:color="000000"/>
            <w:bottom w:val="dotted" w:sz="4" w:space="24" w:color="000000"/>
            <w:right w:val="dotted" w:sz="4" w:space="24" w:color="000000"/>
          </w:pgBorders>
          <w:cols w:space="708"/>
        </w:sectPr>
      </w:pPr>
      <w:proofErr w:type="spellStart"/>
      <w:r w:rsidRPr="003F30A8">
        <w:rPr>
          <w:rFonts w:asciiTheme="minorHAnsi" w:hAnsiTheme="minorHAnsi" w:cstheme="minorHAnsi"/>
        </w:rPr>
        <w:t>Click</w:t>
      </w:r>
      <w:proofErr w:type="spellEnd"/>
      <w:r w:rsidRPr="003F30A8">
        <w:rPr>
          <w:rFonts w:asciiTheme="minorHAnsi" w:hAnsiTheme="minorHAnsi" w:cstheme="minorHAnsi"/>
        </w:rPr>
        <w:t xml:space="preserve"> here </w:t>
      </w:r>
      <w:proofErr w:type="spellStart"/>
      <w:r w:rsidRPr="003F30A8">
        <w:rPr>
          <w:rFonts w:asciiTheme="minorHAnsi" w:hAnsiTheme="minorHAnsi" w:cstheme="minorHAnsi"/>
        </w:rPr>
        <w:t>for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guide</w:t>
      </w:r>
      <w:proofErr w:type="spellEnd"/>
      <w:r w:rsidRPr="003F30A8">
        <w:rPr>
          <w:rFonts w:asciiTheme="minorHAnsi" w:hAnsiTheme="minorHAnsi" w:cstheme="minorHAnsi"/>
        </w:rPr>
        <w:t xml:space="preserve"> on </w:t>
      </w:r>
      <w:proofErr w:type="spellStart"/>
      <w:r w:rsidRPr="003F30A8">
        <w:rPr>
          <w:rFonts w:asciiTheme="minorHAnsi" w:hAnsiTheme="minorHAnsi" w:cstheme="minorHAnsi"/>
        </w:rPr>
        <w:t>the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gramStart"/>
      <w:r w:rsidRPr="003F30A8">
        <w:rPr>
          <w:rFonts w:asciiTheme="minorHAnsi" w:hAnsiTheme="minorHAnsi" w:cstheme="minorHAnsi"/>
        </w:rPr>
        <w:t>online</w:t>
      </w:r>
      <w:proofErr w:type="gram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compilation</w:t>
      </w:r>
      <w:proofErr w:type="spellEnd"/>
      <w:r w:rsidRPr="003F30A8">
        <w:rPr>
          <w:rFonts w:asciiTheme="minorHAnsi" w:hAnsiTheme="minorHAnsi" w:cstheme="minorHAnsi"/>
        </w:rPr>
        <w:t xml:space="preserve"> of </w:t>
      </w:r>
      <w:proofErr w:type="spellStart"/>
      <w:r w:rsidRPr="003F30A8">
        <w:rPr>
          <w:rFonts w:asciiTheme="minorHAnsi" w:hAnsiTheme="minorHAnsi" w:cstheme="minorHAnsi"/>
        </w:rPr>
        <w:t>postgraduate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theses</w:t>
      </w:r>
      <w:proofErr w:type="spellEnd"/>
      <w:r w:rsidRPr="003F30A8">
        <w:rPr>
          <w:rFonts w:asciiTheme="minorHAnsi" w:hAnsiTheme="minorHAnsi" w:cstheme="minorHAnsi"/>
        </w:rPr>
        <w:t xml:space="preserve"> </w:t>
      </w:r>
      <w:proofErr w:type="spellStart"/>
      <w:r w:rsidRPr="003F30A8">
        <w:rPr>
          <w:rFonts w:asciiTheme="minorHAnsi" w:hAnsiTheme="minorHAnsi" w:cstheme="minorHAnsi"/>
        </w:rPr>
        <w:t>prepared</w:t>
      </w:r>
      <w:proofErr w:type="spellEnd"/>
      <w:r w:rsidRPr="003F30A8">
        <w:rPr>
          <w:rFonts w:asciiTheme="minorHAnsi" w:hAnsiTheme="minorHAnsi" w:cstheme="minorHAnsi"/>
        </w:rPr>
        <w:t xml:space="preserve"> a</w:t>
      </w:r>
      <w:r w:rsidR="004273CB">
        <w:rPr>
          <w:rFonts w:asciiTheme="minorHAnsi" w:hAnsiTheme="minorHAnsi" w:cstheme="minorHAnsi"/>
        </w:rPr>
        <w:t xml:space="preserve">t </w:t>
      </w:r>
      <w:proofErr w:type="spellStart"/>
      <w:r w:rsidR="004273CB">
        <w:rPr>
          <w:rFonts w:asciiTheme="minorHAnsi" w:hAnsiTheme="minorHAnsi" w:cstheme="minorHAnsi"/>
        </w:rPr>
        <w:t>higher</w:t>
      </w:r>
      <w:proofErr w:type="spellEnd"/>
      <w:r w:rsidR="004273CB">
        <w:rPr>
          <w:rFonts w:asciiTheme="minorHAnsi" w:hAnsiTheme="minorHAnsi" w:cstheme="minorHAnsi"/>
        </w:rPr>
        <w:t xml:space="preserve"> </w:t>
      </w:r>
      <w:proofErr w:type="spellStart"/>
      <w:r w:rsidR="004273CB">
        <w:rPr>
          <w:rFonts w:asciiTheme="minorHAnsi" w:hAnsiTheme="minorHAnsi" w:cstheme="minorHAnsi"/>
        </w:rPr>
        <w:t>education</w:t>
      </w:r>
      <w:proofErr w:type="spellEnd"/>
      <w:r w:rsidR="004273CB">
        <w:rPr>
          <w:rFonts w:asciiTheme="minorHAnsi" w:hAnsiTheme="minorHAnsi" w:cstheme="minorHAnsi"/>
        </w:rPr>
        <w:t xml:space="preserve"> institutions</w:t>
      </w:r>
      <w:bookmarkStart w:id="0" w:name="_GoBack"/>
      <w:bookmarkEnd w:id="0"/>
    </w:p>
    <w:p w14:paraId="1265DF12" w14:textId="46A50FF6" w:rsidR="003F12E1" w:rsidRPr="004273CB" w:rsidRDefault="003F12E1" w:rsidP="004273CB">
      <w:pPr>
        <w:tabs>
          <w:tab w:val="left" w:pos="2991"/>
        </w:tabs>
        <w:rPr>
          <w:sz w:val="20"/>
        </w:rPr>
      </w:pPr>
    </w:p>
    <w:sectPr w:rsidR="003F12E1" w:rsidRPr="004273CB">
      <w:pgSz w:w="11940" w:h="16860"/>
      <w:pgMar w:top="760" w:right="540" w:bottom="280" w:left="560" w:header="708" w:footer="708" w:gutter="0"/>
      <w:pgBorders w:offsetFrom="page">
        <w:top w:val="dotted" w:sz="4" w:space="24" w:color="000000"/>
        <w:left w:val="dotted" w:sz="4" w:space="24" w:color="000000"/>
        <w:bottom w:val="dotted" w:sz="4" w:space="24" w:color="000000"/>
        <w:right w:val="dotted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3729"/>
    <w:multiLevelType w:val="hybridMultilevel"/>
    <w:tmpl w:val="AED833A4"/>
    <w:lvl w:ilvl="0" w:tplc="A678E144">
      <w:start w:val="1"/>
      <w:numFmt w:val="lowerLetter"/>
      <w:lvlText w:val="%1)"/>
      <w:lvlJc w:val="left"/>
      <w:pPr>
        <w:ind w:left="830" w:hanging="361"/>
        <w:jc w:val="left"/>
      </w:pPr>
      <w:rPr>
        <w:rFonts w:ascii="Calibri" w:eastAsia="Calibri" w:hAnsi="Calibri" w:cs="Calibri" w:hint="default"/>
        <w:b/>
        <w:bCs/>
        <w:spacing w:val="0"/>
        <w:w w:val="90"/>
        <w:sz w:val="20"/>
        <w:szCs w:val="20"/>
        <w:lang w:val="tr-TR" w:eastAsia="en-US" w:bidi="ar-SA"/>
      </w:rPr>
    </w:lvl>
    <w:lvl w:ilvl="1" w:tplc="8E4EF064">
      <w:numFmt w:val="bullet"/>
      <w:lvlText w:val="•"/>
      <w:lvlJc w:val="left"/>
      <w:pPr>
        <w:ind w:left="1840" w:hanging="361"/>
      </w:pPr>
      <w:rPr>
        <w:rFonts w:hint="default"/>
        <w:lang w:val="tr-TR" w:eastAsia="en-US" w:bidi="ar-SA"/>
      </w:rPr>
    </w:lvl>
    <w:lvl w:ilvl="2" w:tplc="B7ACE890">
      <w:numFmt w:val="bullet"/>
      <w:lvlText w:val="•"/>
      <w:lvlJc w:val="left"/>
      <w:pPr>
        <w:ind w:left="2840" w:hanging="361"/>
      </w:pPr>
      <w:rPr>
        <w:rFonts w:hint="default"/>
        <w:lang w:val="tr-TR" w:eastAsia="en-US" w:bidi="ar-SA"/>
      </w:rPr>
    </w:lvl>
    <w:lvl w:ilvl="3" w:tplc="7AE6576C">
      <w:numFmt w:val="bullet"/>
      <w:lvlText w:val="•"/>
      <w:lvlJc w:val="left"/>
      <w:pPr>
        <w:ind w:left="3840" w:hanging="361"/>
      </w:pPr>
      <w:rPr>
        <w:rFonts w:hint="default"/>
        <w:lang w:val="tr-TR" w:eastAsia="en-US" w:bidi="ar-SA"/>
      </w:rPr>
    </w:lvl>
    <w:lvl w:ilvl="4" w:tplc="64463072">
      <w:numFmt w:val="bullet"/>
      <w:lvlText w:val="•"/>
      <w:lvlJc w:val="left"/>
      <w:pPr>
        <w:ind w:left="4840" w:hanging="361"/>
      </w:pPr>
      <w:rPr>
        <w:rFonts w:hint="default"/>
        <w:lang w:val="tr-TR" w:eastAsia="en-US" w:bidi="ar-SA"/>
      </w:rPr>
    </w:lvl>
    <w:lvl w:ilvl="5" w:tplc="D9123D06">
      <w:numFmt w:val="bullet"/>
      <w:lvlText w:val="•"/>
      <w:lvlJc w:val="left"/>
      <w:pPr>
        <w:ind w:left="5840" w:hanging="361"/>
      </w:pPr>
      <w:rPr>
        <w:rFonts w:hint="default"/>
        <w:lang w:val="tr-TR" w:eastAsia="en-US" w:bidi="ar-SA"/>
      </w:rPr>
    </w:lvl>
    <w:lvl w:ilvl="6" w:tplc="799A6BBC">
      <w:numFmt w:val="bullet"/>
      <w:lvlText w:val="•"/>
      <w:lvlJc w:val="left"/>
      <w:pPr>
        <w:ind w:left="6840" w:hanging="361"/>
      </w:pPr>
      <w:rPr>
        <w:rFonts w:hint="default"/>
        <w:lang w:val="tr-TR" w:eastAsia="en-US" w:bidi="ar-SA"/>
      </w:rPr>
    </w:lvl>
    <w:lvl w:ilvl="7" w:tplc="70BAEA7C">
      <w:numFmt w:val="bullet"/>
      <w:lvlText w:val="•"/>
      <w:lvlJc w:val="left"/>
      <w:pPr>
        <w:ind w:left="7840" w:hanging="361"/>
      </w:pPr>
      <w:rPr>
        <w:rFonts w:hint="default"/>
        <w:lang w:val="tr-TR" w:eastAsia="en-US" w:bidi="ar-SA"/>
      </w:rPr>
    </w:lvl>
    <w:lvl w:ilvl="8" w:tplc="3CC6DB0C">
      <w:numFmt w:val="bullet"/>
      <w:lvlText w:val="•"/>
      <w:lvlJc w:val="left"/>
      <w:pPr>
        <w:ind w:left="8840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209B1FFD"/>
    <w:multiLevelType w:val="hybridMultilevel"/>
    <w:tmpl w:val="BC221D8A"/>
    <w:lvl w:ilvl="0" w:tplc="ADBC91E0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2B49F7"/>
    <w:multiLevelType w:val="hybridMultilevel"/>
    <w:tmpl w:val="8960ADA6"/>
    <w:lvl w:ilvl="0" w:tplc="6ED42E32">
      <w:start w:val="1"/>
      <w:numFmt w:val="decimal"/>
      <w:lvlText w:val="%1."/>
      <w:lvlJc w:val="left"/>
      <w:pPr>
        <w:ind w:left="469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en-US" w:bidi="ar-SA"/>
      </w:rPr>
    </w:lvl>
    <w:lvl w:ilvl="1" w:tplc="9A9CE45C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31004972">
      <w:numFmt w:val="bullet"/>
      <w:lvlText w:val="•"/>
      <w:lvlJc w:val="left"/>
      <w:pPr>
        <w:ind w:left="1773" w:hanging="360"/>
      </w:pPr>
      <w:rPr>
        <w:rFonts w:hint="default"/>
        <w:lang w:val="tr-TR" w:eastAsia="en-US" w:bidi="ar-SA"/>
      </w:rPr>
    </w:lvl>
    <w:lvl w:ilvl="3" w:tplc="ED02F0FA">
      <w:numFmt w:val="bullet"/>
      <w:lvlText w:val="•"/>
      <w:lvlJc w:val="left"/>
      <w:pPr>
        <w:ind w:left="2906" w:hanging="360"/>
      </w:pPr>
      <w:rPr>
        <w:rFonts w:hint="default"/>
        <w:lang w:val="tr-TR" w:eastAsia="en-US" w:bidi="ar-SA"/>
      </w:rPr>
    </w:lvl>
    <w:lvl w:ilvl="4" w:tplc="5900D3E6">
      <w:numFmt w:val="bullet"/>
      <w:lvlText w:val="•"/>
      <w:lvlJc w:val="left"/>
      <w:pPr>
        <w:ind w:left="4040" w:hanging="360"/>
      </w:pPr>
      <w:rPr>
        <w:rFonts w:hint="default"/>
        <w:lang w:val="tr-TR" w:eastAsia="en-US" w:bidi="ar-SA"/>
      </w:rPr>
    </w:lvl>
    <w:lvl w:ilvl="5" w:tplc="9EE8A2FA">
      <w:numFmt w:val="bullet"/>
      <w:lvlText w:val="•"/>
      <w:lvlJc w:val="left"/>
      <w:pPr>
        <w:ind w:left="5173" w:hanging="360"/>
      </w:pPr>
      <w:rPr>
        <w:rFonts w:hint="default"/>
        <w:lang w:val="tr-TR" w:eastAsia="en-US" w:bidi="ar-SA"/>
      </w:rPr>
    </w:lvl>
    <w:lvl w:ilvl="6" w:tplc="03FC56E0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26165C2A">
      <w:numFmt w:val="bullet"/>
      <w:lvlText w:val="•"/>
      <w:lvlJc w:val="left"/>
      <w:pPr>
        <w:ind w:left="7440" w:hanging="360"/>
      </w:pPr>
      <w:rPr>
        <w:rFonts w:hint="default"/>
        <w:lang w:val="tr-TR" w:eastAsia="en-US" w:bidi="ar-SA"/>
      </w:rPr>
    </w:lvl>
    <w:lvl w:ilvl="8" w:tplc="3A3453EC">
      <w:numFmt w:val="bullet"/>
      <w:lvlText w:val="•"/>
      <w:lvlJc w:val="left"/>
      <w:pPr>
        <w:ind w:left="857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2213314"/>
    <w:multiLevelType w:val="hybridMultilevel"/>
    <w:tmpl w:val="644C2BAE"/>
    <w:lvl w:ilvl="0" w:tplc="2DBC0E5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FFC8A6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47A0243E">
      <w:numFmt w:val="bullet"/>
      <w:lvlText w:val="•"/>
      <w:lvlJc w:val="left"/>
      <w:pPr>
        <w:ind w:left="1951" w:hanging="361"/>
      </w:pPr>
      <w:rPr>
        <w:rFonts w:hint="default"/>
        <w:lang w:val="tr-TR" w:eastAsia="en-US" w:bidi="ar-SA"/>
      </w:rPr>
    </w:lvl>
    <w:lvl w:ilvl="3" w:tplc="A294ACFC">
      <w:numFmt w:val="bullet"/>
      <w:lvlText w:val="•"/>
      <w:lvlJc w:val="left"/>
      <w:pPr>
        <w:ind w:left="3062" w:hanging="361"/>
      </w:pPr>
      <w:rPr>
        <w:rFonts w:hint="default"/>
        <w:lang w:val="tr-TR" w:eastAsia="en-US" w:bidi="ar-SA"/>
      </w:rPr>
    </w:lvl>
    <w:lvl w:ilvl="4" w:tplc="D46E04A4">
      <w:numFmt w:val="bullet"/>
      <w:lvlText w:val="•"/>
      <w:lvlJc w:val="left"/>
      <w:pPr>
        <w:ind w:left="4173" w:hanging="361"/>
      </w:pPr>
      <w:rPr>
        <w:rFonts w:hint="default"/>
        <w:lang w:val="tr-TR" w:eastAsia="en-US" w:bidi="ar-SA"/>
      </w:rPr>
    </w:lvl>
    <w:lvl w:ilvl="5" w:tplc="69682612">
      <w:numFmt w:val="bullet"/>
      <w:lvlText w:val="•"/>
      <w:lvlJc w:val="left"/>
      <w:pPr>
        <w:ind w:left="5284" w:hanging="361"/>
      </w:pPr>
      <w:rPr>
        <w:rFonts w:hint="default"/>
        <w:lang w:val="tr-TR" w:eastAsia="en-US" w:bidi="ar-SA"/>
      </w:rPr>
    </w:lvl>
    <w:lvl w:ilvl="6" w:tplc="CB64672A">
      <w:numFmt w:val="bullet"/>
      <w:lvlText w:val="•"/>
      <w:lvlJc w:val="left"/>
      <w:pPr>
        <w:ind w:left="6395" w:hanging="361"/>
      </w:pPr>
      <w:rPr>
        <w:rFonts w:hint="default"/>
        <w:lang w:val="tr-TR" w:eastAsia="en-US" w:bidi="ar-SA"/>
      </w:rPr>
    </w:lvl>
    <w:lvl w:ilvl="7" w:tplc="5398875C">
      <w:numFmt w:val="bullet"/>
      <w:lvlText w:val="•"/>
      <w:lvlJc w:val="left"/>
      <w:pPr>
        <w:ind w:left="7506" w:hanging="361"/>
      </w:pPr>
      <w:rPr>
        <w:rFonts w:hint="default"/>
        <w:lang w:val="tr-TR" w:eastAsia="en-US" w:bidi="ar-SA"/>
      </w:rPr>
    </w:lvl>
    <w:lvl w:ilvl="8" w:tplc="7A5A5D5E">
      <w:numFmt w:val="bullet"/>
      <w:lvlText w:val="•"/>
      <w:lvlJc w:val="left"/>
      <w:pPr>
        <w:ind w:left="8617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E1"/>
    <w:rsid w:val="000300FB"/>
    <w:rsid w:val="00073692"/>
    <w:rsid w:val="000C75E9"/>
    <w:rsid w:val="00205B5F"/>
    <w:rsid w:val="0028696C"/>
    <w:rsid w:val="003F12E1"/>
    <w:rsid w:val="003F30A8"/>
    <w:rsid w:val="0041270B"/>
    <w:rsid w:val="00426EAA"/>
    <w:rsid w:val="004273CB"/>
    <w:rsid w:val="005F1893"/>
    <w:rsid w:val="006B5019"/>
    <w:rsid w:val="006C43AB"/>
    <w:rsid w:val="007170D8"/>
    <w:rsid w:val="0084787B"/>
    <w:rsid w:val="00AC4A81"/>
    <w:rsid w:val="00B37B7E"/>
    <w:rsid w:val="00C63B40"/>
    <w:rsid w:val="00D20115"/>
    <w:rsid w:val="00D31A95"/>
    <w:rsid w:val="00D35A07"/>
    <w:rsid w:val="00D36F89"/>
    <w:rsid w:val="00D6409A"/>
    <w:rsid w:val="00D66E84"/>
    <w:rsid w:val="00E2016D"/>
    <w:rsid w:val="00EB33F2"/>
    <w:rsid w:val="00F026D5"/>
    <w:rsid w:val="00F3483E"/>
    <w:rsid w:val="00FA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AB00"/>
  <w15:docId w15:val="{9EBF43BE-6D09-4443-A78C-FE833F62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09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0"/>
    </w:pPr>
    <w:rPr>
      <w:sz w:val="20"/>
      <w:szCs w:val="20"/>
    </w:rPr>
  </w:style>
  <w:style w:type="paragraph" w:styleId="ListeParagraf">
    <w:name w:val="List Paragraph"/>
    <w:basedOn w:val="Normal"/>
    <w:uiPriority w:val="34"/>
    <w:qFormat/>
    <w:pPr>
      <w:spacing w:before="121"/>
      <w:ind w:left="46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D35A0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3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z2.yok.gov.tr/" TargetMode="External"/><Relationship Id="rId5" Type="http://schemas.openxmlformats.org/officeDocument/2006/relationships/hyperlink" Target="https://uskudar.edu.tr/sbe/form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İnci</cp:lastModifiedBy>
  <cp:revision>3</cp:revision>
  <dcterms:created xsi:type="dcterms:W3CDTF">2025-06-01T19:25:00Z</dcterms:created>
  <dcterms:modified xsi:type="dcterms:W3CDTF">2025-06-01T19:26:00Z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2023-10-04T00:00:00Z</vt:filetime>
  </property>
</Properties>
</file>