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CE422" w14:textId="77777777" w:rsidR="0066671D" w:rsidRDefault="00430C1B">
      <w:pPr>
        <w:pStyle w:val="Gvde"/>
        <w:jc w:val="center"/>
        <w:rPr>
          <w:b/>
          <w:bCs/>
          <w:sz w:val="27"/>
          <w:szCs w:val="27"/>
        </w:rPr>
      </w:pPr>
      <w:r>
        <w:rPr>
          <w:b/>
          <w:bCs/>
          <w:sz w:val="27"/>
          <w:szCs w:val="27"/>
        </w:rPr>
        <w:t>T.C</w:t>
      </w:r>
    </w:p>
    <w:p w14:paraId="5BC8B03C" w14:textId="77777777" w:rsidR="0066671D" w:rsidRDefault="00430C1B">
      <w:pPr>
        <w:pStyle w:val="Gvde"/>
        <w:jc w:val="center"/>
        <w:rPr>
          <w:b/>
          <w:bCs/>
          <w:sz w:val="27"/>
          <w:szCs w:val="27"/>
        </w:rPr>
      </w:pPr>
      <w:r>
        <w:rPr>
          <w:b/>
          <w:bCs/>
          <w:sz w:val="27"/>
          <w:szCs w:val="27"/>
          <w:lang w:val="de-DE"/>
        </w:rPr>
        <w:t xml:space="preserve"> Ü</w:t>
      </w:r>
      <w:r>
        <w:rPr>
          <w:b/>
          <w:bCs/>
          <w:sz w:val="27"/>
          <w:szCs w:val="27"/>
        </w:rPr>
        <w:t>SK</w:t>
      </w:r>
      <w:r>
        <w:rPr>
          <w:b/>
          <w:bCs/>
          <w:sz w:val="27"/>
          <w:szCs w:val="27"/>
          <w:lang w:val="de-DE"/>
        </w:rPr>
        <w:t>ÜDAR Ü</w:t>
      </w:r>
      <w:r>
        <w:rPr>
          <w:b/>
          <w:bCs/>
          <w:sz w:val="27"/>
          <w:szCs w:val="27"/>
        </w:rPr>
        <w:t>Nİ</w:t>
      </w:r>
      <w:r>
        <w:rPr>
          <w:b/>
          <w:bCs/>
          <w:sz w:val="27"/>
          <w:szCs w:val="27"/>
          <w:lang w:val="de-DE"/>
        </w:rPr>
        <w:t>VERS</w:t>
      </w:r>
      <w:r>
        <w:rPr>
          <w:b/>
          <w:bCs/>
          <w:sz w:val="27"/>
          <w:szCs w:val="27"/>
        </w:rPr>
        <w:t>İ</w:t>
      </w:r>
      <w:r>
        <w:rPr>
          <w:b/>
          <w:bCs/>
          <w:sz w:val="27"/>
          <w:szCs w:val="27"/>
          <w:lang w:val="en-US"/>
        </w:rPr>
        <w:t>TES</w:t>
      </w:r>
      <w:r>
        <w:rPr>
          <w:b/>
          <w:bCs/>
          <w:sz w:val="27"/>
          <w:szCs w:val="27"/>
        </w:rPr>
        <w:t xml:space="preserve">İ </w:t>
      </w:r>
    </w:p>
    <w:p w14:paraId="3D1DDD5E" w14:textId="77777777" w:rsidR="0066671D" w:rsidRDefault="00430C1B">
      <w:pPr>
        <w:pStyle w:val="Gvde"/>
        <w:jc w:val="center"/>
        <w:rPr>
          <w:b/>
          <w:bCs/>
          <w:sz w:val="27"/>
          <w:szCs w:val="27"/>
        </w:rPr>
      </w:pPr>
      <w:r>
        <w:rPr>
          <w:b/>
          <w:bCs/>
          <w:sz w:val="27"/>
          <w:szCs w:val="27"/>
          <w:lang w:val="de-DE"/>
        </w:rPr>
        <w:t>TIP FAKÜLTES</w:t>
      </w:r>
      <w:r>
        <w:rPr>
          <w:b/>
          <w:bCs/>
          <w:sz w:val="27"/>
          <w:szCs w:val="27"/>
        </w:rPr>
        <w:t xml:space="preserve">İ </w:t>
      </w:r>
      <w:r>
        <w:rPr>
          <w:b/>
          <w:bCs/>
          <w:sz w:val="27"/>
          <w:szCs w:val="27"/>
          <w:lang w:val="de-DE"/>
        </w:rPr>
        <w:t xml:space="preserve">DERS </w:t>
      </w:r>
      <w:r>
        <w:rPr>
          <w:b/>
          <w:bCs/>
          <w:sz w:val="27"/>
          <w:szCs w:val="27"/>
        </w:rPr>
        <w:t>İÇ</w:t>
      </w:r>
      <w:r>
        <w:rPr>
          <w:b/>
          <w:bCs/>
          <w:sz w:val="27"/>
          <w:szCs w:val="27"/>
          <w:lang w:val="de-DE"/>
        </w:rPr>
        <w:t>ER</w:t>
      </w:r>
      <w:r>
        <w:rPr>
          <w:b/>
          <w:bCs/>
          <w:sz w:val="27"/>
          <w:szCs w:val="27"/>
        </w:rPr>
        <w:t>İ</w:t>
      </w:r>
      <w:r>
        <w:rPr>
          <w:b/>
          <w:bCs/>
          <w:sz w:val="27"/>
          <w:szCs w:val="27"/>
          <w:lang w:val="de-DE"/>
        </w:rPr>
        <w:t>KLER</w:t>
      </w:r>
      <w:r>
        <w:rPr>
          <w:b/>
          <w:bCs/>
          <w:sz w:val="27"/>
          <w:szCs w:val="27"/>
        </w:rPr>
        <w:t xml:space="preserve">İ </w:t>
      </w:r>
    </w:p>
    <w:p w14:paraId="3DC22462" w14:textId="77777777" w:rsidR="0066671D" w:rsidRDefault="00430C1B">
      <w:pPr>
        <w:pStyle w:val="Gvde"/>
        <w:jc w:val="center"/>
        <w:rPr>
          <w:b/>
          <w:bCs/>
          <w:sz w:val="27"/>
          <w:szCs w:val="27"/>
        </w:rPr>
      </w:pPr>
      <w:r>
        <w:rPr>
          <w:b/>
          <w:bCs/>
          <w:sz w:val="27"/>
          <w:szCs w:val="27"/>
        </w:rPr>
        <w:t xml:space="preserve">ÜÇÜNCÜ </w:t>
      </w:r>
      <w:r>
        <w:rPr>
          <w:b/>
          <w:bCs/>
          <w:sz w:val="27"/>
          <w:szCs w:val="27"/>
          <w:lang w:val="de-DE"/>
        </w:rPr>
        <w:t>SINIF</w:t>
      </w:r>
    </w:p>
    <w:p w14:paraId="5BFA9725" w14:textId="77777777" w:rsidR="0066671D" w:rsidRPr="00690DCE" w:rsidRDefault="00430C1B" w:rsidP="00690DCE">
      <w:pPr>
        <w:jc w:val="center"/>
        <w:rPr>
          <w:b/>
          <w:bCs/>
          <w:sz w:val="27"/>
          <w:szCs w:val="27"/>
        </w:rPr>
      </w:pPr>
      <w:r w:rsidRPr="00690DCE">
        <w:rPr>
          <w:b/>
          <w:bCs/>
          <w:sz w:val="27"/>
          <w:szCs w:val="27"/>
        </w:rPr>
        <w:t>I.DÖNEM (G</w:t>
      </w:r>
      <w:r w:rsidRPr="00690DCE">
        <w:rPr>
          <w:b/>
          <w:bCs/>
          <w:sz w:val="27"/>
          <w:szCs w:val="27"/>
          <w:lang w:val="de-DE"/>
        </w:rPr>
        <w:t>Ü</w:t>
      </w:r>
      <w:r w:rsidRPr="00690DCE">
        <w:rPr>
          <w:b/>
          <w:bCs/>
          <w:sz w:val="27"/>
          <w:szCs w:val="27"/>
        </w:rPr>
        <w:t>Z)</w:t>
      </w:r>
    </w:p>
    <w:p w14:paraId="37855496" w14:textId="77777777" w:rsidR="0066671D" w:rsidRDefault="0066671D">
      <w:pPr>
        <w:pStyle w:val="Gvde"/>
        <w:rPr>
          <w:b/>
          <w:bCs/>
          <w:sz w:val="27"/>
          <w:szCs w:val="27"/>
        </w:rPr>
      </w:pPr>
    </w:p>
    <w:p w14:paraId="110AD8C9" w14:textId="77777777" w:rsidR="006470D2" w:rsidRDefault="00690DCE" w:rsidP="006470D2">
      <w:pPr>
        <w:spacing w:before="100" w:beforeAutospacing="1" w:after="100" w:afterAutospacing="1"/>
        <w:rPr>
          <w:rFonts w:eastAsia="Times New Roman" w:cstheme="minorHAnsi"/>
          <w:b/>
          <w:bCs/>
          <w:noProof/>
          <w:sz w:val="22"/>
          <w:szCs w:val="22"/>
          <w:lang w:eastAsia="tr-TR"/>
        </w:rPr>
      </w:pPr>
      <w:r>
        <w:rPr>
          <w:rFonts w:eastAsia="Times New Roman" w:cstheme="minorHAnsi"/>
          <w:b/>
          <w:bCs/>
          <w:noProof/>
          <w:sz w:val="22"/>
          <w:szCs w:val="22"/>
          <w:lang w:eastAsia="tr-TR"/>
        </w:rPr>
        <w:t>TKD307 Tıpta Kurul Dersleri (Kurul 3</w:t>
      </w:r>
      <w:r w:rsidR="006470D2">
        <w:rPr>
          <w:rFonts w:eastAsia="Times New Roman" w:cstheme="minorHAnsi"/>
          <w:b/>
          <w:bCs/>
          <w:noProof/>
          <w:sz w:val="22"/>
          <w:szCs w:val="22"/>
          <w:lang w:eastAsia="tr-TR"/>
        </w:rPr>
        <w:t>A): Bu kurul içerisinde 3 adet kurul bulunmaktadır. Bu kurullar;</w:t>
      </w:r>
    </w:p>
    <w:p w14:paraId="682B45C6" w14:textId="77777777" w:rsidR="0066671D" w:rsidRDefault="00430C1B">
      <w:pPr>
        <w:pStyle w:val="Gvde"/>
        <w:rPr>
          <w:b/>
          <w:bCs/>
        </w:rPr>
      </w:pPr>
      <w:r>
        <w:rPr>
          <w:b/>
          <w:bCs/>
        </w:rPr>
        <w:t xml:space="preserve">Klinik Bilimlere Giriş ve Enfeksiyon </w:t>
      </w:r>
      <w:r w:rsidR="00690DCE">
        <w:rPr>
          <w:b/>
          <w:bCs/>
        </w:rPr>
        <w:t>Hastalıkları Kurulu</w:t>
      </w:r>
      <w:r w:rsidR="00690DCE">
        <w:rPr>
          <w:b/>
          <w:bCs/>
        </w:rPr>
        <w:tab/>
      </w:r>
      <w:r w:rsidR="00690DCE">
        <w:rPr>
          <w:b/>
          <w:bCs/>
        </w:rPr>
        <w:tab/>
      </w:r>
      <w:r w:rsidR="00690DCE">
        <w:rPr>
          <w:b/>
          <w:bCs/>
        </w:rPr>
        <w:tab/>
      </w:r>
      <w:r w:rsidR="00690DCE">
        <w:rPr>
          <w:b/>
          <w:bCs/>
        </w:rPr>
        <w:tab/>
        <w:t xml:space="preserve">          </w:t>
      </w:r>
      <w:r>
        <w:rPr>
          <w:b/>
          <w:bCs/>
        </w:rPr>
        <w:t>(6+2) 7 AKTS: 10</w:t>
      </w:r>
    </w:p>
    <w:p w14:paraId="5F20A3F4" w14:textId="77777777" w:rsidR="0066671D" w:rsidRDefault="00430C1B" w:rsidP="00690DCE">
      <w:pPr>
        <w:pStyle w:val="Gvde"/>
        <w:jc w:val="both"/>
      </w:pPr>
      <w:r>
        <w:t>Bu ders kurulunun amacı:</w:t>
      </w:r>
      <w:r>
        <w:rPr>
          <w:b/>
          <w:bCs/>
        </w:rPr>
        <w:t xml:space="preserve"> </w:t>
      </w:r>
      <w:r>
        <w:t xml:space="preserve">Tıbbi </w:t>
      </w:r>
      <w:r>
        <w:rPr>
          <w:lang w:val="sv-SE"/>
        </w:rPr>
        <w:t>ö</w:t>
      </w:r>
      <w:r>
        <w:t xml:space="preserve">nemi olan mikroorganizmaların tanınması, </w:t>
      </w:r>
      <w:r>
        <w:rPr>
          <w:lang w:val="sv-SE"/>
        </w:rPr>
        <w:t>ö</w:t>
      </w:r>
      <w:r>
        <w:t xml:space="preserve">nemli yapısal </w:t>
      </w:r>
      <w:r>
        <w:rPr>
          <w:lang w:val="sv-SE"/>
        </w:rPr>
        <w:t>ö</w:t>
      </w:r>
      <w:r>
        <w:t>zelliklerinin ve hastalık oluşturma süre</w:t>
      </w:r>
      <w:r>
        <w:rPr>
          <w:lang w:val="pt-PT"/>
        </w:rPr>
        <w:t>ç</w:t>
      </w:r>
      <w:r>
        <w:t>lerinin anlaşılması, başlıca tanı ve tedavi yaklaşımlarının açıklanmasıdır.</w:t>
      </w:r>
    </w:p>
    <w:p w14:paraId="023EBE7B" w14:textId="77777777" w:rsidR="0066671D" w:rsidRDefault="00430C1B" w:rsidP="00690DCE">
      <w:pPr>
        <w:pStyle w:val="Gvde"/>
        <w:jc w:val="both"/>
      </w:pPr>
      <w:r>
        <w:rPr>
          <w:sz w:val="24"/>
          <w:szCs w:val="24"/>
        </w:rPr>
        <w:t>Bu ders kurulunda;</w:t>
      </w:r>
      <w:r>
        <w:rPr>
          <w:b/>
          <w:bCs/>
          <w:sz w:val="24"/>
          <w:szCs w:val="24"/>
        </w:rPr>
        <w:t xml:space="preserve"> </w:t>
      </w:r>
      <w:r>
        <w:t>hastalıklarda g</w:t>
      </w:r>
      <w:r>
        <w:rPr>
          <w:lang w:val="sv-SE"/>
        </w:rPr>
        <w:t>ö</w:t>
      </w:r>
      <w:r>
        <w:t xml:space="preserve">rülen bulgular incelenir, tıbbi </w:t>
      </w:r>
      <w:r>
        <w:rPr>
          <w:lang w:val="sv-SE"/>
        </w:rPr>
        <w:t>ö</w:t>
      </w:r>
      <w:r>
        <w:t>nemi olan bakteriler, bakteriyel hastalıklarda patogenez öğrenilir, tanı ve tedavi y</w:t>
      </w:r>
      <w:r>
        <w:rPr>
          <w:lang w:val="sv-SE"/>
        </w:rPr>
        <w:t>ö</w:t>
      </w:r>
      <w:r>
        <w:t xml:space="preserve">ntemleri belirlenir.  Tıbbi </w:t>
      </w:r>
      <w:r>
        <w:rPr>
          <w:lang w:val="sv-SE"/>
        </w:rPr>
        <w:t>ö</w:t>
      </w:r>
      <w:r>
        <w:t>nemi olan mantarlar, fungal patogenez öğrenilip, tanı ve tedavi y</w:t>
      </w:r>
      <w:r>
        <w:rPr>
          <w:lang w:val="sv-SE"/>
        </w:rPr>
        <w:t>ö</w:t>
      </w:r>
      <w:r>
        <w:t xml:space="preserve">ntemleri belirlenir. Enfeksiyon hastalıklarında izlenen başlıca belirti ve bulguların üzerinde durulur. Tıbbi </w:t>
      </w:r>
      <w:r>
        <w:rPr>
          <w:lang w:val="sv-SE"/>
        </w:rPr>
        <w:t>ö</w:t>
      </w:r>
      <w:r>
        <w:t>nemi olan parazitler, paraziter hastalıklarda patogenez öğrenilir, tanı ve tedavi y</w:t>
      </w:r>
      <w:r>
        <w:rPr>
          <w:lang w:val="sv-SE"/>
        </w:rPr>
        <w:t>ö</w:t>
      </w:r>
      <w:r>
        <w:t xml:space="preserve">ntemleri belirlenir. Tıbbi </w:t>
      </w:r>
      <w:r>
        <w:rPr>
          <w:lang w:val="sv-SE"/>
        </w:rPr>
        <w:t>ö</w:t>
      </w:r>
      <w:r>
        <w:t>nemi olan virüsler, viral patogenezler öğrenilip, tanı ve tedavi y</w:t>
      </w:r>
      <w:r>
        <w:rPr>
          <w:lang w:val="sv-SE"/>
        </w:rPr>
        <w:t>ö</w:t>
      </w:r>
      <w:r>
        <w:t>ntemleri belirlenir.</w:t>
      </w:r>
    </w:p>
    <w:p w14:paraId="3C1E2B4F" w14:textId="77777777" w:rsidR="0066671D" w:rsidRDefault="00430C1B">
      <w:pPr>
        <w:pStyle w:val="Gvde"/>
        <w:rPr>
          <w:b/>
          <w:bCs/>
        </w:rPr>
      </w:pPr>
      <w:r>
        <w:rPr>
          <w:b/>
          <w:bCs/>
        </w:rPr>
        <w:t>Hematopoetik ve Neoplazi</w:t>
      </w:r>
      <w:r w:rsidR="00690DCE">
        <w:rPr>
          <w:b/>
          <w:bCs/>
        </w:rPr>
        <w:t>k Hastalıkları Kurulu</w:t>
      </w:r>
      <w:r w:rsidR="00690DCE">
        <w:rPr>
          <w:b/>
          <w:bCs/>
        </w:rPr>
        <w:tab/>
      </w:r>
      <w:r w:rsidR="00690DCE">
        <w:rPr>
          <w:b/>
          <w:bCs/>
        </w:rPr>
        <w:tab/>
      </w:r>
      <w:r w:rsidR="00690DCE">
        <w:rPr>
          <w:b/>
          <w:bCs/>
        </w:rPr>
        <w:tab/>
      </w:r>
      <w:r w:rsidR="00690DCE">
        <w:rPr>
          <w:b/>
          <w:bCs/>
        </w:rPr>
        <w:tab/>
        <w:t xml:space="preserve">           </w:t>
      </w:r>
      <w:r>
        <w:rPr>
          <w:b/>
          <w:bCs/>
        </w:rPr>
        <w:t>(5+2)  6 AKTS: 8</w:t>
      </w:r>
    </w:p>
    <w:p w14:paraId="6C703922" w14:textId="77777777" w:rsidR="0066671D" w:rsidRDefault="00430C1B" w:rsidP="00690DCE">
      <w:pPr>
        <w:pStyle w:val="Gvde"/>
        <w:jc w:val="both"/>
      </w:pPr>
      <w:r>
        <w:t>Bu derste neoplazi, hematopoetik ve immün sistem ile ilgili temel bilgilerin ve yaklaşımın verilmesi ama</w:t>
      </w:r>
      <w:r>
        <w:rPr>
          <w:lang w:val="pt-PT"/>
        </w:rPr>
        <w:t>ç</w:t>
      </w:r>
      <w:r>
        <w:t>lanmıştır. Bu ders kurulunda öğrenciler, hematopoetik sistemin yapısını, gelişimini ve fizyolojisini; hematopoetik sistemle ilgili hastalıkların patogenezlerini öğrenecektir. Ayrıca hematopoetik hastalıkların semptomlarını, ilgili risk fakt</w:t>
      </w:r>
      <w:r>
        <w:rPr>
          <w:lang w:val="sv-SE"/>
        </w:rPr>
        <w:t>ö</w:t>
      </w:r>
      <w:r>
        <w:t xml:space="preserve">rlerini, teşhislerini, tedavi esaslarını ve hastalıklarının </w:t>
      </w:r>
      <w:r>
        <w:rPr>
          <w:lang w:val="sv-SE"/>
        </w:rPr>
        <w:t>ö</w:t>
      </w:r>
      <w:r>
        <w:t>nlenmesini öğrenecektir.</w:t>
      </w:r>
    </w:p>
    <w:p w14:paraId="284CD07A" w14:textId="77777777" w:rsidR="0066671D" w:rsidRDefault="00430C1B" w:rsidP="00690DCE">
      <w:pPr>
        <w:pStyle w:val="Gvde"/>
        <w:jc w:val="both"/>
      </w:pPr>
      <w:r>
        <w:t>Bu ders kurulunda;  neoplazilerin sını</w:t>
      </w:r>
      <w:r>
        <w:rPr>
          <w:lang w:val="de-DE"/>
        </w:rPr>
        <w:t>fland</w:t>
      </w:r>
      <w:r>
        <w:t xml:space="preserve">ırılması, benign ve malign neoplazilerin </w:t>
      </w:r>
      <w:r>
        <w:rPr>
          <w:lang w:val="sv-SE"/>
        </w:rPr>
        <w:t>ö</w:t>
      </w:r>
      <w:r>
        <w:t>zellikleri, neoplazide etiyoloji, yayılım ve metastaz, kanser epidemiyolojisi ve kanserinin moleküler temelleri, epitelyal tüm</w:t>
      </w:r>
      <w:r>
        <w:rPr>
          <w:lang w:val="sv-SE"/>
        </w:rPr>
        <w:t>ö</w:t>
      </w:r>
      <w:r>
        <w:t>rler, mezenkimal tüm</w:t>
      </w:r>
      <w:r>
        <w:rPr>
          <w:lang w:val="sv-SE"/>
        </w:rPr>
        <w:t>ö</w:t>
      </w:r>
      <w:r>
        <w:t>rler, deri tüm</w:t>
      </w:r>
      <w:r>
        <w:rPr>
          <w:lang w:val="sv-SE"/>
        </w:rPr>
        <w:t>ö</w:t>
      </w:r>
      <w:r>
        <w:t>rleri, teratom, santral sinir sistemi tüm</w:t>
      </w:r>
      <w:r>
        <w:rPr>
          <w:lang w:val="sv-SE"/>
        </w:rPr>
        <w:t>ö</w:t>
      </w:r>
      <w:r>
        <w:t>rleri patolojisi, allerjik, immünolojik ve anaflaktik reaksiyonlar; hemolitik anemiler, demir eksikliği anemisi, aplastik-hipoplastik anemi, orak hücreli anemi,hematolojik maligniteler, immunopatoloji, kanser biyokimyası, kanser tedavisinin farmakolojik esasları, antineoplastik ila</w:t>
      </w:r>
      <w:r>
        <w:rPr>
          <w:lang w:val="pt-PT"/>
        </w:rPr>
        <w:t>ç</w:t>
      </w:r>
      <w:r>
        <w:t>lar ve radyasyonun biyolojik etkileri yer almaktadır.</w:t>
      </w:r>
    </w:p>
    <w:p w14:paraId="25E6AD5E" w14:textId="77777777" w:rsidR="0066671D" w:rsidRDefault="00430C1B">
      <w:pPr>
        <w:pStyle w:val="Gvde"/>
        <w:rPr>
          <w:b/>
          <w:bCs/>
        </w:rPr>
      </w:pPr>
      <w:r>
        <w:rPr>
          <w:b/>
          <w:bCs/>
          <w:lang w:val="de-DE"/>
        </w:rPr>
        <w:t>Dola</w:t>
      </w:r>
      <w:r>
        <w:rPr>
          <w:b/>
          <w:bCs/>
        </w:rPr>
        <w:t>şım ve Solunum Siste</w:t>
      </w:r>
      <w:r w:rsidR="00690DCE">
        <w:rPr>
          <w:b/>
          <w:bCs/>
        </w:rPr>
        <w:t>mi Hastalıkları Kurulu</w:t>
      </w:r>
      <w:r w:rsidR="00690DCE">
        <w:rPr>
          <w:b/>
          <w:bCs/>
        </w:rPr>
        <w:tab/>
      </w:r>
      <w:r w:rsidR="00690DCE">
        <w:rPr>
          <w:b/>
          <w:bCs/>
        </w:rPr>
        <w:tab/>
      </w:r>
      <w:r w:rsidR="00690DCE">
        <w:rPr>
          <w:b/>
          <w:bCs/>
        </w:rPr>
        <w:tab/>
      </w:r>
      <w:r w:rsidR="00690DCE">
        <w:rPr>
          <w:b/>
          <w:bCs/>
        </w:rPr>
        <w:tab/>
        <w:t xml:space="preserve">            </w:t>
      </w:r>
      <w:r>
        <w:rPr>
          <w:b/>
          <w:bCs/>
        </w:rPr>
        <w:t>(5+2) 6 AKTS: 8</w:t>
      </w:r>
    </w:p>
    <w:p w14:paraId="1D95A8D8" w14:textId="77777777" w:rsidR="0066671D" w:rsidRDefault="00430C1B" w:rsidP="00690DCE">
      <w:pPr>
        <w:pStyle w:val="Gvde"/>
        <w:jc w:val="both"/>
      </w:pPr>
      <w:r>
        <w:t>Bu ders kurulunda ama</w:t>
      </w:r>
      <w:r>
        <w:rPr>
          <w:lang w:val="pt-PT"/>
        </w:rPr>
        <w:t>ç</w:t>
      </w:r>
      <w:r>
        <w:t>; öğrencilerin kalp, dolaşım ve solunum sistemi hastalıkları konusunda temel bilgileri öğrenmeleri ve ilgili alanların yaklaşımlarını kazanmalarıdır.</w:t>
      </w:r>
    </w:p>
    <w:p w14:paraId="117B3B11" w14:textId="77777777" w:rsidR="0066671D" w:rsidRDefault="00430C1B" w:rsidP="00690DCE">
      <w:pPr>
        <w:pStyle w:val="Gvde"/>
        <w:jc w:val="both"/>
      </w:pPr>
      <w:r>
        <w:t>Bu ders kurulunda; kalp-damar ve solunum sistemi hastalıklarının epidemiyolojisi, patolojik bulguları, klinik tanısı, genel tedavi prensipleri ve hastalıklar i</w:t>
      </w:r>
      <w:r>
        <w:rPr>
          <w:lang w:val="pt-PT"/>
        </w:rPr>
        <w:t>ç</w:t>
      </w:r>
      <w:r>
        <w:t>in kullanılan ila</w:t>
      </w:r>
      <w:r>
        <w:rPr>
          <w:lang w:val="pt-PT"/>
        </w:rPr>
        <w:t>ç</w:t>
      </w:r>
      <w:r>
        <w:t>ların farmakolojik etkileri üzerinde durulur. Solunum sisteminin gelişimi, yapısı ve fizyolojisi ve sistemle ilgili hastalıkların patogenezleri öğrenilir. Ayrıca akciğer hastalıklarının semptomları, ilgili risk fakt</w:t>
      </w:r>
      <w:r>
        <w:rPr>
          <w:lang w:val="sv-SE"/>
        </w:rPr>
        <w:t>ö</w:t>
      </w:r>
      <w:r>
        <w:t xml:space="preserve">rleri, teşhisleri, tedavi esasları ve </w:t>
      </w:r>
      <w:r>
        <w:lastRenderedPageBreak/>
        <w:t xml:space="preserve">akciğer hastalıklarının </w:t>
      </w:r>
      <w:r>
        <w:rPr>
          <w:lang w:val="sv-SE"/>
        </w:rPr>
        <w:t>ö</w:t>
      </w:r>
      <w:r>
        <w:t>nlenmesi kavranır. Disiplinler arası bir yaklaşımla, kardiyovasküler sistemin morfolojisi ve fonksiyonları hakkında bilgi edinilir, prensiplerini öğrenilir ve patofizyolojik mekanizmalar kardiyovasküler sistem hastalıkları ile ilişkilendirilir.</w:t>
      </w:r>
    </w:p>
    <w:p w14:paraId="3F95B16D" w14:textId="77777777" w:rsidR="00690DCE" w:rsidRDefault="00690DCE" w:rsidP="00690DCE">
      <w:pPr>
        <w:pStyle w:val="Gvde"/>
        <w:jc w:val="both"/>
      </w:pPr>
    </w:p>
    <w:p w14:paraId="6CC4698D" w14:textId="77777777" w:rsidR="00690DCE" w:rsidRDefault="00690DCE" w:rsidP="00690DCE">
      <w:pPr>
        <w:pStyle w:val="Gvde"/>
        <w:rPr>
          <w:b/>
          <w:bCs/>
          <w:color w:val="212529"/>
          <w:u w:color="212529"/>
        </w:rPr>
      </w:pPr>
      <w:r>
        <w:rPr>
          <w:b/>
          <w:bCs/>
          <w:color w:val="212529"/>
          <w:u w:color="212529"/>
          <w:lang w:val="de-DE"/>
        </w:rPr>
        <w:t>TYD204    Sa</w:t>
      </w:r>
      <w:r>
        <w:rPr>
          <w:b/>
          <w:bCs/>
          <w:color w:val="212529"/>
          <w:u w:color="212529"/>
        </w:rPr>
        <w:t>ğlık Ekonomisi                                                                                                           (2+0) 2 AKTS:3</w:t>
      </w:r>
    </w:p>
    <w:p w14:paraId="461246F3" w14:textId="77777777" w:rsidR="00690DCE" w:rsidRDefault="00690DCE" w:rsidP="00690DCE">
      <w:pPr>
        <w:pStyle w:val="Gvde"/>
        <w:jc w:val="both"/>
        <w:rPr>
          <w:color w:val="212529"/>
          <w:u w:color="212529"/>
        </w:rPr>
      </w:pPr>
      <w:r>
        <w:rPr>
          <w:color w:val="212529"/>
          <w:u w:color="212529"/>
        </w:rPr>
        <w:t>Bu dersin amacı; sağlık ekonomisi sistemi, kavram ve metodolojisinin öğrenilmesi, sağlık ekonomisi analizi yapılması, Türk sağlık ekonomisinin analiz edilmesi ve değerlendirilmesi becerisinin kazandırılmasıdır.</w:t>
      </w:r>
    </w:p>
    <w:p w14:paraId="4638B484" w14:textId="77777777" w:rsidR="00690DCE" w:rsidRDefault="00690DCE" w:rsidP="00690DCE">
      <w:pPr>
        <w:pStyle w:val="Gvde"/>
        <w:jc w:val="both"/>
        <w:rPr>
          <w:color w:val="212529"/>
          <w:u w:color="212529"/>
        </w:rPr>
      </w:pPr>
      <w:r>
        <w:rPr>
          <w:color w:val="212529"/>
          <w:u w:color="212529"/>
        </w:rPr>
        <w:t>Bu dersin i</w:t>
      </w:r>
      <w:r>
        <w:rPr>
          <w:color w:val="212529"/>
          <w:u w:color="212529"/>
          <w:lang w:val="pt-PT"/>
        </w:rPr>
        <w:t>ç</w:t>
      </w:r>
      <w:r>
        <w:rPr>
          <w:color w:val="212529"/>
          <w:u w:color="212529"/>
        </w:rPr>
        <w:t>eriğinde; sağlık ekonomisi kavramı analizi, sağlık sekt</w:t>
      </w:r>
      <w:r>
        <w:rPr>
          <w:color w:val="212529"/>
          <w:u w:color="212529"/>
          <w:lang w:val="sv-SE"/>
        </w:rPr>
        <w:t>ö</w:t>
      </w:r>
      <w:r>
        <w:rPr>
          <w:color w:val="212529"/>
          <w:u w:color="212529"/>
        </w:rPr>
        <w:t>rünün ekonomik büyüme ve kalkınma ile ilgisi, ekonomik planlama ve sağlık sekt</w:t>
      </w:r>
      <w:r>
        <w:rPr>
          <w:color w:val="212529"/>
          <w:u w:color="212529"/>
          <w:lang w:val="sv-SE"/>
        </w:rPr>
        <w:t>ö</w:t>
      </w:r>
      <w:r>
        <w:rPr>
          <w:color w:val="212529"/>
          <w:u w:color="212529"/>
        </w:rPr>
        <w:t>rünün planlanması, sağlık sekt</w:t>
      </w:r>
      <w:r>
        <w:rPr>
          <w:color w:val="212529"/>
          <w:u w:color="212529"/>
          <w:lang w:val="sv-SE"/>
        </w:rPr>
        <w:t>ö</w:t>
      </w:r>
      <w:r>
        <w:rPr>
          <w:color w:val="212529"/>
          <w:u w:color="212529"/>
        </w:rPr>
        <w:t>ründe proje değerlendirme yer alır. Bunlara ek olarak sağlık hizmetleri üretimi ve finansmanı, ilaç endüstrisi ve ekonomisi, sağlık politikalarında ekonomik rasyonalite, ekonomik değerlendirme teknikleri ve Türkiye sağlık ekonomisine ilişkin konular üzerinde durulur.</w:t>
      </w:r>
    </w:p>
    <w:p w14:paraId="0871F670" w14:textId="77777777" w:rsidR="00690DCE" w:rsidRPr="00690DCE" w:rsidRDefault="00690DCE" w:rsidP="00690DCE">
      <w:pPr>
        <w:pStyle w:val="Gvde"/>
        <w:jc w:val="both"/>
        <w:rPr>
          <w:color w:val="212529"/>
          <w:u w:color="212529"/>
        </w:rPr>
      </w:pPr>
    </w:p>
    <w:p w14:paraId="1707C8EF" w14:textId="77777777" w:rsidR="0066671D" w:rsidRDefault="00430C1B">
      <w:pPr>
        <w:pStyle w:val="Gvde"/>
        <w:rPr>
          <w:b/>
          <w:bCs/>
        </w:rPr>
      </w:pPr>
      <w:r>
        <w:rPr>
          <w:b/>
          <w:bCs/>
        </w:rPr>
        <w:t xml:space="preserve">TYD301    Biyoistatistik                                                                                                 </w:t>
      </w:r>
      <w:r w:rsidR="00690DCE">
        <w:rPr>
          <w:b/>
          <w:bCs/>
        </w:rPr>
        <w:t xml:space="preserve">   </w:t>
      </w:r>
      <w:r>
        <w:rPr>
          <w:b/>
          <w:bCs/>
        </w:rPr>
        <w:t xml:space="preserve">           (2+0)  2  AKT</w:t>
      </w:r>
      <w:r w:rsidR="0048660B">
        <w:rPr>
          <w:b/>
          <w:bCs/>
        </w:rPr>
        <w:t>S: 3</w:t>
      </w:r>
    </w:p>
    <w:p w14:paraId="20B42CAD" w14:textId="77777777" w:rsidR="0066671D" w:rsidRDefault="00430C1B" w:rsidP="00690DCE">
      <w:pPr>
        <w:pStyle w:val="Gvde"/>
        <w:jc w:val="both"/>
        <w:rPr>
          <w:color w:val="212529"/>
          <w:u w:color="212529"/>
        </w:rPr>
      </w:pPr>
      <w:r>
        <w:t>Bu dersin ama</w:t>
      </w:r>
      <w:r>
        <w:rPr>
          <w:lang w:val="pt-PT"/>
        </w:rPr>
        <w:t>ç</w:t>
      </w:r>
      <w:r>
        <w:t xml:space="preserve">; </w:t>
      </w:r>
      <w:r>
        <w:rPr>
          <w:color w:val="212529"/>
          <w:u w:color="212529"/>
        </w:rPr>
        <w:t>temel istatistik bilgisini ve bazı istatistiki analiz y</w:t>
      </w:r>
      <w:r>
        <w:rPr>
          <w:color w:val="212529"/>
          <w:u w:color="212529"/>
          <w:lang w:val="sv-SE"/>
        </w:rPr>
        <w:t>ö</w:t>
      </w:r>
      <w:r>
        <w:rPr>
          <w:color w:val="212529"/>
          <w:u w:color="212529"/>
        </w:rPr>
        <w:t>ntemlerini kavratmaktır.</w:t>
      </w:r>
    </w:p>
    <w:p w14:paraId="3B22B700" w14:textId="77777777" w:rsidR="00690DCE" w:rsidRPr="00690DCE" w:rsidRDefault="00430C1B">
      <w:pPr>
        <w:pStyle w:val="Gvde"/>
        <w:jc w:val="both"/>
        <w:rPr>
          <w:color w:val="212529"/>
          <w:u w:color="212529"/>
        </w:rPr>
      </w:pPr>
      <w:r>
        <w:rPr>
          <w:color w:val="212529"/>
          <w:u w:color="212529"/>
        </w:rPr>
        <w:t>Bu dersin i</w:t>
      </w:r>
      <w:r>
        <w:rPr>
          <w:color w:val="212529"/>
          <w:u w:color="212529"/>
          <w:lang w:val="pt-PT"/>
        </w:rPr>
        <w:t>ç</w:t>
      </w:r>
      <w:r>
        <w:rPr>
          <w:color w:val="212529"/>
          <w:u w:color="212529"/>
        </w:rPr>
        <w:t xml:space="preserve">eriğinde; frekans Dağılımları, merkezi eğilim ve dağılım </w:t>
      </w:r>
      <w:r>
        <w:rPr>
          <w:color w:val="212529"/>
          <w:u w:color="212529"/>
          <w:lang w:val="sv-SE"/>
        </w:rPr>
        <w:t>ö</w:t>
      </w:r>
      <w:r>
        <w:rPr>
          <w:color w:val="212529"/>
          <w:u w:color="212529"/>
        </w:rPr>
        <w:t>lçüleri, olasılık ve olasılık dağılımları, kesikli olasılık dağılımları</w:t>
      </w:r>
      <w:r>
        <w:rPr>
          <w:color w:val="212529"/>
          <w:u w:color="212529"/>
          <w:lang w:val="pt-PT"/>
        </w:rPr>
        <w:t>, normal da</w:t>
      </w:r>
      <w:r>
        <w:rPr>
          <w:color w:val="212529"/>
          <w:u w:color="212529"/>
        </w:rPr>
        <w:t>ğılım ve binomun normale yaklaşımı, hipotez testi ve güven aralığı, kitle ortalaması i</w:t>
      </w:r>
      <w:r>
        <w:rPr>
          <w:color w:val="212529"/>
          <w:u w:color="212529"/>
          <w:lang w:val="pt-PT"/>
        </w:rPr>
        <w:t>ç</w:t>
      </w:r>
      <w:r>
        <w:rPr>
          <w:color w:val="212529"/>
          <w:u w:color="212529"/>
        </w:rPr>
        <w:t xml:space="preserve">in hipotez testi ve güven aralığı, iki kitle ortalaması arasındaki farkın </w:t>
      </w:r>
      <w:r>
        <w:rPr>
          <w:color w:val="212529"/>
          <w:u w:color="212529"/>
          <w:lang w:val="sv-SE"/>
        </w:rPr>
        <w:t>ö</w:t>
      </w:r>
      <w:r>
        <w:rPr>
          <w:color w:val="212529"/>
          <w:u w:color="212529"/>
        </w:rPr>
        <w:t xml:space="preserve">nem kontrolü, eşler arası farkın </w:t>
      </w:r>
      <w:r>
        <w:rPr>
          <w:color w:val="212529"/>
          <w:u w:color="212529"/>
          <w:lang w:val="sv-SE"/>
        </w:rPr>
        <w:t>ö</w:t>
      </w:r>
      <w:r>
        <w:rPr>
          <w:color w:val="212529"/>
          <w:u w:color="212529"/>
        </w:rPr>
        <w:t xml:space="preserve">nem kontrolü, kitle yüzdesinin </w:t>
      </w:r>
      <w:r>
        <w:rPr>
          <w:color w:val="212529"/>
          <w:u w:color="212529"/>
          <w:lang w:val="sv-SE"/>
        </w:rPr>
        <w:t>ö</w:t>
      </w:r>
      <w:r>
        <w:rPr>
          <w:color w:val="212529"/>
          <w:u w:color="212529"/>
        </w:rPr>
        <w:t>nem kontrolü ve güven aralığı, ki-kare çözümlemesi, bağımsızlık testleri, bağımlılık katsayıları, regresyon analizi, basit doğrusal regresyonda hipotez testi ve güven aralığı, korelasyon analizi yer alır.</w:t>
      </w:r>
    </w:p>
    <w:sectPr w:rsidR="00690DCE" w:rsidRPr="00690DCE">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C52F0" w14:textId="77777777" w:rsidR="003C16BF" w:rsidRDefault="003C16BF">
      <w:r>
        <w:separator/>
      </w:r>
    </w:p>
  </w:endnote>
  <w:endnote w:type="continuationSeparator" w:id="0">
    <w:p w14:paraId="74F8339C" w14:textId="77777777" w:rsidR="003C16BF" w:rsidRDefault="003C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63194" w14:textId="77777777" w:rsidR="003C16BF" w:rsidRDefault="003C16BF">
      <w:r>
        <w:separator/>
      </w:r>
    </w:p>
  </w:footnote>
  <w:footnote w:type="continuationSeparator" w:id="0">
    <w:p w14:paraId="57D6EAAD" w14:textId="77777777" w:rsidR="003C16BF" w:rsidRDefault="003C1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1D"/>
    <w:rsid w:val="000A63BC"/>
    <w:rsid w:val="002D7116"/>
    <w:rsid w:val="002F0726"/>
    <w:rsid w:val="003527F5"/>
    <w:rsid w:val="003C16BF"/>
    <w:rsid w:val="00430C1B"/>
    <w:rsid w:val="0048660B"/>
    <w:rsid w:val="00600E15"/>
    <w:rsid w:val="006470D2"/>
    <w:rsid w:val="0066671D"/>
    <w:rsid w:val="00690DCE"/>
    <w:rsid w:val="00AA4D43"/>
    <w:rsid w:val="00AB3D44"/>
    <w:rsid w:val="00AD4B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4794B"/>
  <w15:docId w15:val="{D55FBBCC-0135-43A1-8462-842BCFA3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Gvde">
    <w:name w:val="Gövde"/>
    <w:pPr>
      <w:spacing w:after="160" w:line="259" w:lineRule="auto"/>
    </w:pPr>
    <w:rPr>
      <w:rFonts w:ascii="Calibri" w:hAnsi="Calibri" w:cs="Arial Unicode MS"/>
      <w:color w:val="000000"/>
      <w:sz w:val="22"/>
      <w:szCs w:val="22"/>
      <w:u w:color="000000"/>
      <w:lang w:val="it-IT"/>
      <w14:textOutline w14:w="0" w14:cap="flat" w14:cmpd="sng" w14:algn="ctr">
        <w14:noFill/>
        <w14:prstDash w14:val="solid"/>
        <w14:bevel/>
      </w14:textOutline>
    </w:rPr>
  </w:style>
  <w:style w:type="paragraph" w:styleId="ListeParagraf">
    <w:name w:val="List Paragraph"/>
    <w:pPr>
      <w:spacing w:after="160" w:line="259" w:lineRule="auto"/>
      <w:ind w:left="720"/>
    </w:pPr>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 Nur Akyol</dc:creator>
  <cp:lastModifiedBy>Seda Nur Akyol</cp:lastModifiedBy>
  <cp:revision>2</cp:revision>
  <dcterms:created xsi:type="dcterms:W3CDTF">2024-08-06T12:20:00Z</dcterms:created>
  <dcterms:modified xsi:type="dcterms:W3CDTF">2024-08-06T12:20:00Z</dcterms:modified>
</cp:coreProperties>
</file>