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20D74" w14:textId="77777777" w:rsidR="009F3502" w:rsidRDefault="00000000">
      <w:pPr>
        <w:spacing w:after="0"/>
        <w:ind w:left="68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ADDICTION COUNSELING AND REHABILITATION MASTER'S COURSE </w:t>
      </w:r>
    </w:p>
    <w:p w14:paraId="6ABAD55C" w14:textId="77777777" w:rsidR="009F3502" w:rsidRDefault="00000000">
      <w:pPr>
        <w:spacing w:after="66"/>
        <w:ind w:left="6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PROGRAM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1C98096F" w14:textId="77777777" w:rsidR="009F3502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35"/>
        </w:rPr>
        <w:t xml:space="preserve"> </w:t>
      </w:r>
    </w:p>
    <w:p w14:paraId="0FAEA717" w14:textId="77777777" w:rsidR="009F3502" w:rsidRDefault="00000000">
      <w:pPr>
        <w:numPr>
          <w:ilvl w:val="0"/>
          <w:numId w:val="1"/>
        </w:numPr>
        <w:spacing w:after="0"/>
        <w:ind w:hanging="293"/>
      </w:pPr>
      <w:r>
        <w:rPr>
          <w:rFonts w:ascii="Times New Roman" w:eastAsia="Times New Roman" w:hAnsi="Times New Roman" w:cs="Times New Roman"/>
          <w:b/>
          <w:sz w:val="24"/>
        </w:rPr>
        <w:t xml:space="preserve">MANDATORY COURSES </w:t>
      </w:r>
    </w:p>
    <w:p w14:paraId="3A4CE6F0" w14:textId="77777777" w:rsidR="009F3502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8706" w:type="dxa"/>
        <w:tblInd w:w="131" w:type="dxa"/>
        <w:tblCellMar>
          <w:top w:w="0" w:type="dxa"/>
          <w:left w:w="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6997"/>
      </w:tblGrid>
      <w:tr w:rsidR="009F3502" w14:paraId="65532393" w14:textId="77777777">
        <w:trPr>
          <w:trHeight w:val="524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46E7" w14:textId="77777777" w:rsidR="009F3502" w:rsidRDefault="00000000">
            <w:pPr>
              <w:spacing w:after="0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Code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Course 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CADB" w14:textId="77777777" w:rsidR="009F3502" w:rsidRDefault="00000000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Name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Course  </w:t>
            </w:r>
          </w:p>
        </w:tc>
      </w:tr>
      <w:tr w:rsidR="009F3502" w14:paraId="5692EA9C" w14:textId="77777777">
        <w:trPr>
          <w:trHeight w:val="1390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AD72" w14:textId="77777777" w:rsidR="009F3502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BDR542 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CF99" w14:textId="77777777" w:rsidR="009F3502" w:rsidRDefault="00000000">
            <w:pPr>
              <w:spacing w:after="0"/>
              <w:ind w:left="107" w:right="269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Alcohol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Substance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Use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Disorders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Behavioral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Other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Addictions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Concepts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properties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substances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forms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symptoms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intoxication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withdrawal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user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characteristics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substance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disorders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discussed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9F3502" w14:paraId="19CE64EE" w14:textId="77777777">
        <w:trPr>
          <w:trHeight w:val="1114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4E31" w14:textId="77777777" w:rsidR="009F3502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BDR543 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A0BD" w14:textId="77777777" w:rsidR="009F3502" w:rsidRDefault="00000000">
            <w:pPr>
              <w:spacing w:after="0"/>
              <w:ind w:left="107" w:right="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Rehabilitation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Addiction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Counseling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services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addicted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person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families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which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necessary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long-term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recovery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addiction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reorganization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one's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life,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covered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9F3502" w14:paraId="43A6DC34" w14:textId="77777777">
        <w:trPr>
          <w:trHeight w:val="221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B204" w14:textId="77777777" w:rsidR="009F3502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BDR541 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F5BA" w14:textId="77777777" w:rsidR="009F3502" w:rsidRDefault="00000000">
            <w:pPr>
              <w:spacing w:after="0"/>
              <w:ind w:left="107" w:right="11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Motivational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Interviewing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Addiction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treatment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addiction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it 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aimed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determine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treatment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willingness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level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individual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adopt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approaches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specific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period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teach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attempts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transition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higher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level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willingness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Motivational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interview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principles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Phases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change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Precontemplation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contemplation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Action,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Maintenance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Relapse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period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approach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9F3502" w14:paraId="776E28E9" w14:textId="77777777">
        <w:trPr>
          <w:trHeight w:val="3322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857D" w14:textId="77777777" w:rsidR="009F350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72BFFB00" w14:textId="77777777" w:rsidR="009F3502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ENS501 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3319" w14:textId="77777777" w:rsidR="009F3502" w:rsidRDefault="00000000">
            <w:pPr>
              <w:spacing w:after="0"/>
              <w:ind w:left="107" w:right="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Methods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Ethics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aimed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teach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basic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epidemiological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statistical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analysis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techniques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planning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conducting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data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analysis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interpretation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addiction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researches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society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advancement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academics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careers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depends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more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ability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publish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information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level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knowledge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Making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writing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scientific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studies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is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skill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academician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must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learn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acquire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in his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career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course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most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basic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practical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information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writing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academic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articles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starting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finishing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writing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publishing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studies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presented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prepared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thesis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term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they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following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year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efforts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prevent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difficulties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they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encounter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</w:tbl>
    <w:p w14:paraId="582462E3" w14:textId="77777777" w:rsidR="009F3502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06F27C34" w14:textId="77777777" w:rsidR="009F3502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1F939349" w14:textId="77777777" w:rsidR="009F3502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7B861A6D" w14:textId="77777777" w:rsidR="009F3502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62B0CFAA" w14:textId="77777777" w:rsidR="009F3502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341BA791" w14:textId="77777777" w:rsidR="009F3502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23F8345A" w14:textId="77777777" w:rsidR="009F3502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03FD2FE6" w14:textId="77777777" w:rsidR="009F3502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23233DCF" w14:textId="77777777" w:rsidR="009F3502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1A06EAF8" w14:textId="77777777" w:rsidR="009F3502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1670EB7C" w14:textId="77777777" w:rsidR="009F3502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0506C127" w14:textId="77777777" w:rsidR="009F3502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6F2CA51F" w14:textId="77777777" w:rsidR="009F3502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1EC779B2" w14:textId="77777777" w:rsidR="009F3502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06CC952B" w14:textId="0F1318D8" w:rsidR="009F3502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71833FF3" w14:textId="7DDA836D" w:rsidR="009F3502" w:rsidRDefault="00000000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00402DC" w14:textId="77777777" w:rsidR="009F08B5" w:rsidRDefault="009F08B5">
      <w:pPr>
        <w:spacing w:after="0"/>
      </w:pPr>
    </w:p>
    <w:p w14:paraId="6ADF92C4" w14:textId="7E405AA3" w:rsidR="009F08B5" w:rsidRPr="009F08B5" w:rsidRDefault="009F08B5" w:rsidP="009F08B5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9F08B5">
        <w:rPr>
          <w:rFonts w:ascii="Times New Roman" w:hAnsi="Times New Roman" w:cs="Times New Roman"/>
          <w:b/>
          <w:bCs/>
        </w:rPr>
        <w:t>OPTIONAL COURSES</w:t>
      </w:r>
    </w:p>
    <w:tbl>
      <w:tblPr>
        <w:tblStyle w:val="TableGrid"/>
        <w:tblpPr w:leftFromText="141" w:rightFromText="141" w:vertAnchor="text" w:horzAnchor="margin" w:tblpY="176"/>
        <w:tblW w:w="8568" w:type="dxa"/>
        <w:tblInd w:w="0" w:type="dxa"/>
        <w:tblCellMar>
          <w:top w:w="0" w:type="dxa"/>
          <w:left w:w="11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6904"/>
      </w:tblGrid>
      <w:tr w:rsidR="009F08B5" w14:paraId="622B6519" w14:textId="77777777" w:rsidTr="009F08B5">
        <w:trPr>
          <w:trHeight w:val="416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B7C1" w14:textId="13A12CC0" w:rsidR="009F08B5" w:rsidRPr="009F08B5" w:rsidRDefault="009F08B5" w:rsidP="009F08B5">
            <w:pPr>
              <w:spacing w:after="0"/>
              <w:ind w:left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Code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Course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2CCB" w14:textId="0C17934B" w:rsidR="009F08B5" w:rsidRPr="009F08B5" w:rsidRDefault="009F08B5" w:rsidP="009F08B5">
            <w:pPr>
              <w:spacing w:after="0"/>
              <w:ind w:right="30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Name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Course  </w:t>
            </w:r>
          </w:p>
        </w:tc>
      </w:tr>
      <w:tr w:rsidR="009F08B5" w14:paraId="7DAB3FAF" w14:textId="77777777" w:rsidTr="009F08B5">
        <w:trPr>
          <w:trHeight w:val="903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993C" w14:textId="77777777" w:rsidR="009F08B5" w:rsidRPr="009F08B5" w:rsidRDefault="009F08B5" w:rsidP="009F08B5">
            <w:pPr>
              <w:spacing w:after="0"/>
              <w:ind w:left="1"/>
              <w:rPr>
                <w:sz w:val="20"/>
                <w:szCs w:val="20"/>
              </w:rPr>
            </w:pPr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BDR545 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44C7" w14:textId="77777777" w:rsidR="009F08B5" w:rsidRPr="009F08B5" w:rsidRDefault="009F08B5" w:rsidP="009F08B5">
            <w:pPr>
              <w:spacing w:after="0"/>
              <w:ind w:right="302"/>
              <w:jc w:val="both"/>
              <w:rPr>
                <w:sz w:val="20"/>
                <w:szCs w:val="20"/>
              </w:rPr>
            </w:pPr>
            <w:proofErr w:type="spellStart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Psychotherapeutic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Interview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Techniques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 a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which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client-counselor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relationship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evaluated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discussed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through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case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examples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basic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meeting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theory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practice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covered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9F08B5" w14:paraId="6D95E456" w14:textId="77777777" w:rsidTr="009F08B5">
        <w:trPr>
          <w:trHeight w:val="903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2206" w14:textId="77777777" w:rsidR="009F08B5" w:rsidRPr="009F08B5" w:rsidRDefault="009F08B5" w:rsidP="009F08B5">
            <w:pPr>
              <w:spacing w:after="0"/>
              <w:ind w:left="1"/>
              <w:rPr>
                <w:sz w:val="20"/>
                <w:szCs w:val="20"/>
              </w:rPr>
            </w:pPr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BDR546 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06FC" w14:textId="77777777" w:rsidR="009F08B5" w:rsidRPr="009F08B5" w:rsidRDefault="009F08B5" w:rsidP="009F08B5">
            <w:pPr>
              <w:spacing w:after="0"/>
              <w:ind w:right="483"/>
              <w:jc w:val="both"/>
              <w:rPr>
                <w:sz w:val="20"/>
                <w:szCs w:val="20"/>
              </w:rPr>
            </w:pPr>
            <w:proofErr w:type="spellStart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Addiction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Law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Ethics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aimed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teach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national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international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legal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rules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ethical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subjects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such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as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criminal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responsibilities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civil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rights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reintegration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into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society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protection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privacy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individuals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addiction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problems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9F08B5" w14:paraId="11DFBFEE" w14:textId="77777777" w:rsidTr="009F08B5">
        <w:trPr>
          <w:trHeight w:val="2023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9B93" w14:textId="77777777" w:rsidR="009F08B5" w:rsidRPr="009F08B5" w:rsidRDefault="009F08B5" w:rsidP="009F08B5">
            <w:pPr>
              <w:spacing w:after="0"/>
              <w:ind w:left="1"/>
              <w:rPr>
                <w:sz w:val="20"/>
                <w:szCs w:val="20"/>
              </w:rPr>
            </w:pPr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BDR547 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1246" w14:textId="77777777" w:rsidR="009F08B5" w:rsidRPr="009F08B5" w:rsidRDefault="009F08B5" w:rsidP="009F08B5">
            <w:pPr>
              <w:spacing w:after="0"/>
              <w:ind w:right="5"/>
              <w:jc w:val="both"/>
              <w:rPr>
                <w:sz w:val="20"/>
                <w:szCs w:val="20"/>
              </w:rPr>
            </w:pPr>
            <w:proofErr w:type="spellStart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Psychological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Tests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Assessment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Basic test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administration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interpretation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emphasized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particular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it is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studied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 test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applications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related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addiction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train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psychologists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help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patients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solve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their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psychological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problems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determine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problems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patients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by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applying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various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psychological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tests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scales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help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patients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gain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communication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problem-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solving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Particular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emphasis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placed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application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interpretation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Minnesota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Multidimensional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Personality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Inventory.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report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writing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also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developed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9F08B5" w14:paraId="43C21FB8" w14:textId="77777777" w:rsidTr="009F08B5">
        <w:trPr>
          <w:trHeight w:val="901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BF4A" w14:textId="77777777" w:rsidR="009F08B5" w:rsidRPr="009F08B5" w:rsidRDefault="009F08B5" w:rsidP="009F08B5">
            <w:pPr>
              <w:spacing w:after="0"/>
              <w:ind w:left="1"/>
              <w:rPr>
                <w:sz w:val="20"/>
                <w:szCs w:val="20"/>
              </w:rPr>
            </w:pPr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BDR548 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4BB4" w14:textId="77777777" w:rsidR="009F08B5" w:rsidRPr="009F08B5" w:rsidRDefault="009F08B5" w:rsidP="009F08B5">
            <w:pPr>
              <w:spacing w:after="0"/>
              <w:rPr>
                <w:sz w:val="20"/>
                <w:szCs w:val="20"/>
              </w:rPr>
            </w:pPr>
            <w:proofErr w:type="spellStart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Psychopharmacology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Toxicology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Addiction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Information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given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pharmacology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toxicology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substances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that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cause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addiction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issues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considered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evaluation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results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emphasized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9F08B5" w14:paraId="637F1340" w14:textId="77777777" w:rsidTr="009F08B5">
        <w:trPr>
          <w:trHeight w:val="903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79BD5" w14:textId="77777777" w:rsidR="009F08B5" w:rsidRPr="009F08B5" w:rsidRDefault="009F08B5" w:rsidP="009F08B5">
            <w:pPr>
              <w:spacing w:after="0"/>
              <w:ind w:left="1"/>
              <w:rPr>
                <w:sz w:val="20"/>
                <w:szCs w:val="20"/>
              </w:rPr>
            </w:pPr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BDR549 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E085" w14:textId="77777777" w:rsidR="009F08B5" w:rsidRPr="009F08B5" w:rsidRDefault="009F08B5" w:rsidP="009F08B5">
            <w:pPr>
              <w:spacing w:after="0"/>
              <w:rPr>
                <w:sz w:val="20"/>
                <w:szCs w:val="20"/>
              </w:rPr>
            </w:pPr>
            <w:proofErr w:type="spellStart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Other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psychiatric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disorders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accompanying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substance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use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disorders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(Dual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Diagnosis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An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Overview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Co-morbid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Disorders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):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diagnosis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treatment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psychiatric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disorders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accompanying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substance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use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disorders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discussed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9F08B5" w14:paraId="24017768" w14:textId="77777777" w:rsidTr="009F08B5">
        <w:trPr>
          <w:trHeight w:val="1127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5C4A" w14:textId="77777777" w:rsidR="009F08B5" w:rsidRPr="009F08B5" w:rsidRDefault="009F08B5" w:rsidP="009F08B5">
            <w:pPr>
              <w:spacing w:after="0"/>
              <w:ind w:left="1"/>
              <w:rPr>
                <w:sz w:val="20"/>
                <w:szCs w:val="20"/>
              </w:rPr>
            </w:pPr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BDR520 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34C8" w14:textId="77777777" w:rsidR="009F08B5" w:rsidRPr="009F08B5" w:rsidRDefault="009F08B5" w:rsidP="009F08B5">
            <w:pPr>
              <w:tabs>
                <w:tab w:val="center" w:pos="1639"/>
                <w:tab w:val="center" w:pos="2657"/>
                <w:tab w:val="center" w:pos="3699"/>
                <w:tab w:val="center" w:pos="5214"/>
                <w:tab w:val="center" w:pos="6385"/>
              </w:tabs>
              <w:spacing w:after="0"/>
              <w:rPr>
                <w:sz w:val="20"/>
                <w:szCs w:val="20"/>
              </w:rPr>
            </w:pPr>
            <w:proofErr w:type="spellStart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Family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proofErr w:type="spellStart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Approach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 xml:space="preserve">in </w:t>
            </w:r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proofErr w:type="spellStart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Addiction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proofErr w:type="spellStart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Counseling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proofErr w:type="spellStart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FD4DBCE" w14:textId="77777777" w:rsidR="009F08B5" w:rsidRPr="009F08B5" w:rsidRDefault="009F08B5" w:rsidP="009F08B5">
            <w:pPr>
              <w:spacing w:after="0"/>
              <w:ind w:right="297"/>
              <w:jc w:val="both"/>
              <w:rPr>
                <w:sz w:val="20"/>
                <w:szCs w:val="20"/>
              </w:rPr>
            </w:pPr>
            <w:proofErr w:type="spellStart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Psychoeducation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aim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Therapy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introduce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approach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families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addictions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improve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'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ability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identify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solve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problems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develop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counseling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training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families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area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9F08B5" w14:paraId="6EAD5B24" w14:textId="77777777" w:rsidTr="009F08B5">
        <w:trPr>
          <w:trHeight w:val="1127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9723" w14:textId="77777777" w:rsidR="009F08B5" w:rsidRPr="009F08B5" w:rsidRDefault="009F08B5" w:rsidP="009F08B5">
            <w:pPr>
              <w:spacing w:after="0"/>
              <w:ind w:left="1"/>
              <w:rPr>
                <w:sz w:val="20"/>
                <w:szCs w:val="20"/>
              </w:rPr>
            </w:pPr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BDR551 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090F" w14:textId="77777777" w:rsidR="009F08B5" w:rsidRPr="009F08B5" w:rsidRDefault="009F08B5" w:rsidP="009F08B5">
            <w:pPr>
              <w:spacing w:after="0"/>
              <w:ind w:right="489"/>
              <w:jc w:val="both"/>
              <w:rPr>
                <w:sz w:val="20"/>
                <w:szCs w:val="20"/>
              </w:rPr>
            </w:pPr>
            <w:proofErr w:type="spellStart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Psychotherapy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in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Addiction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 a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that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focuses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individual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therapies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context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cognitive-behavioral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guiding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psychodynamic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transactional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views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At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same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time,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treatment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methods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addicts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people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related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them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also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discussed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9F08B5" w14:paraId="04AAB9C5" w14:textId="77777777" w:rsidTr="009F08B5">
        <w:trPr>
          <w:trHeight w:val="1800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53FD" w14:textId="77777777" w:rsidR="009F08B5" w:rsidRPr="009F08B5" w:rsidRDefault="009F08B5" w:rsidP="009F08B5">
            <w:pPr>
              <w:spacing w:after="0"/>
              <w:ind w:left="1"/>
              <w:rPr>
                <w:sz w:val="20"/>
                <w:szCs w:val="20"/>
              </w:rPr>
            </w:pPr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BDR552 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D791" w14:textId="77777777" w:rsidR="009F08B5" w:rsidRPr="009F08B5" w:rsidRDefault="009F08B5" w:rsidP="009F08B5">
            <w:pPr>
              <w:spacing w:after="0" w:line="238" w:lineRule="auto"/>
              <w:ind w:right="104"/>
              <w:jc w:val="both"/>
              <w:rPr>
                <w:sz w:val="20"/>
                <w:szCs w:val="20"/>
              </w:rPr>
            </w:pPr>
            <w:proofErr w:type="spellStart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Group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Therapies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in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Addiction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Treatment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it is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aimed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provide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basic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knowledge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group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psychotherapies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together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practical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application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15B2BA88" w14:textId="77777777" w:rsidR="009F08B5" w:rsidRPr="009F08B5" w:rsidRDefault="009F08B5" w:rsidP="009F08B5">
            <w:pPr>
              <w:spacing w:after="0"/>
              <w:ind w:right="406"/>
              <w:jc w:val="both"/>
              <w:rPr>
                <w:sz w:val="20"/>
                <w:szCs w:val="20"/>
              </w:rPr>
            </w:pP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Group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formation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patient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selection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therapeutic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factors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group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therapies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ethical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group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therapy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dynamics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group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therapies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discussed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Group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therapies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used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substance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use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disorders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discussed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context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cognitive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behavioral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guiding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psychodynamic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transactional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>views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9F08B5" w14:paraId="2348011D" w14:textId="77777777" w:rsidTr="009F08B5">
        <w:trPr>
          <w:trHeight w:val="1800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5D2F" w14:textId="77777777" w:rsidR="009F08B5" w:rsidRPr="009F08B5" w:rsidRDefault="009F08B5" w:rsidP="009F08B5">
            <w:pPr>
              <w:spacing w:after="0"/>
              <w:ind w:left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BDR521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AAC3" w14:textId="77777777" w:rsidR="009F08B5" w:rsidRPr="009F08B5" w:rsidRDefault="009F08B5" w:rsidP="009F08B5">
            <w:pPr>
              <w:spacing w:after="0" w:line="238" w:lineRule="auto"/>
              <w:ind w:right="10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Schema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Therapy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in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Addiction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schema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therapy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course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it is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aimed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understand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personality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structures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individuals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with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alcohol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substance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use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reveal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schemas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treat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08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them</w:t>
            </w:r>
            <w:proofErr w:type="spellEnd"/>
            <w:r w:rsidRPr="009F08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</w:tbl>
    <w:p w14:paraId="771F7B7F" w14:textId="05C0CBBA" w:rsidR="009F3502" w:rsidRDefault="009F3502" w:rsidP="009F08B5"/>
    <w:sectPr w:rsidR="009F3502">
      <w:pgSz w:w="11910" w:h="16840"/>
      <w:pgMar w:top="1329" w:right="1359" w:bottom="417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D11BA"/>
    <w:multiLevelType w:val="hybridMultilevel"/>
    <w:tmpl w:val="89C0EDE8"/>
    <w:lvl w:ilvl="0" w:tplc="69543D86">
      <w:start w:val="1"/>
      <w:numFmt w:val="upperLetter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B008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C093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602D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D40A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C50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6C53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78C7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A6ED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07619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502"/>
    <w:rsid w:val="009F08B5"/>
    <w:rsid w:val="009F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EEAA"/>
  <w15:docId w15:val="{982B604C-907D-47B9-AF1E-8D4F48DC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9F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Zeynep Başabak</dc:creator>
  <cp:keywords/>
  <cp:lastModifiedBy>Ceyda Şişman</cp:lastModifiedBy>
  <cp:revision>2</cp:revision>
  <dcterms:created xsi:type="dcterms:W3CDTF">2023-07-19T05:40:00Z</dcterms:created>
  <dcterms:modified xsi:type="dcterms:W3CDTF">2023-07-19T05:40:00Z</dcterms:modified>
</cp:coreProperties>
</file>