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0D" w:rsidRDefault="001B7A0D" w:rsidP="00E9570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Moleküler Biyoloji ve Genetik </w:t>
      </w:r>
      <w:r w:rsidR="00E67E90">
        <w:rPr>
          <w:rFonts w:ascii="Times New Roman" w:hAnsi="Times New Roman" w:cs="Times New Roman"/>
          <w:b/>
        </w:rPr>
        <w:t xml:space="preserve">(İngilizce) </w:t>
      </w:r>
      <w:r>
        <w:rPr>
          <w:rFonts w:ascii="Times New Roman" w:hAnsi="Times New Roman" w:cs="Times New Roman"/>
          <w:b/>
        </w:rPr>
        <w:t>Bölümü Proje Önerileri ve Öğrenci Eşleştirmeleri</w:t>
      </w:r>
    </w:p>
    <w:p w:rsidR="00A44B17" w:rsidRPr="00A44B17" w:rsidRDefault="00A44B17" w:rsidP="00A44B17">
      <w:pPr>
        <w:tabs>
          <w:tab w:val="left" w:pos="4806"/>
        </w:tabs>
        <w:jc w:val="both"/>
        <w:rPr>
          <w:rFonts w:ascii="Times New Roman" w:hAnsi="Times New Roman" w:cs="Times New Roman"/>
        </w:rPr>
      </w:pPr>
      <w:r w:rsidRPr="00A44B17">
        <w:rPr>
          <w:rFonts w:ascii="Times New Roman" w:hAnsi="Times New Roman" w:cs="Times New Roman"/>
        </w:rPr>
        <w:t>MBG 49</w:t>
      </w:r>
      <w:r w:rsidR="00603F79">
        <w:rPr>
          <w:rFonts w:ascii="Times New Roman" w:hAnsi="Times New Roman" w:cs="Times New Roman"/>
        </w:rPr>
        <w:t>4</w:t>
      </w:r>
      <w:r w:rsidRPr="00A44B17">
        <w:rPr>
          <w:rFonts w:ascii="Times New Roman" w:hAnsi="Times New Roman" w:cs="Times New Roman"/>
        </w:rPr>
        <w:t xml:space="preserve"> Graduation </w:t>
      </w:r>
      <w:r w:rsidR="00603F79">
        <w:rPr>
          <w:rFonts w:ascii="Times New Roman" w:hAnsi="Times New Roman" w:cs="Times New Roman"/>
        </w:rPr>
        <w:t>Thesis</w:t>
      </w:r>
      <w:r w:rsidRPr="00A44B17">
        <w:rPr>
          <w:rFonts w:ascii="Times New Roman" w:hAnsi="Times New Roman" w:cs="Times New Roman"/>
        </w:rPr>
        <w:t xml:space="preserve"> dersini (veya ilgili bölüm eşdeğer dersini) alacak olup henüz bir proje ve danışmanı olmayan öğrenciler, aşağıdaki listede verilen</w:t>
      </w:r>
      <w:r>
        <w:rPr>
          <w:rFonts w:ascii="Times New Roman" w:hAnsi="Times New Roman" w:cs="Times New Roman"/>
        </w:rPr>
        <w:t xml:space="preserve"> ve açık kotası bulunan projelerden</w:t>
      </w:r>
      <w:r w:rsidRPr="00A44B17">
        <w:rPr>
          <w:rFonts w:ascii="Times New Roman" w:hAnsi="Times New Roman" w:cs="Times New Roman"/>
        </w:rPr>
        <w:t xml:space="preserve"> birini seçerek öneriyi yapan öğretim üyesi ile görüşebilirler. Eğer bir koşul belirtildiyse, öğrencilerin seçimlerinde bu koşulu dikkate almaları gerekmektedir.</w:t>
      </w:r>
      <w:r>
        <w:rPr>
          <w:rFonts w:ascii="Times New Roman" w:hAnsi="Times New Roman" w:cs="Times New Roman"/>
        </w:rPr>
        <w:t xml:space="preserve"> Kabul edilen öğrencilerle birlikte son eşleşme listesi </w:t>
      </w:r>
      <w:r w:rsidR="00603F79"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>0</w:t>
      </w:r>
      <w:r w:rsidR="00603F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603F7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tarihinde açıklanacaktır.</w:t>
      </w:r>
    </w:p>
    <w:p w:rsidR="00E67E90" w:rsidRDefault="00E67E90" w:rsidP="00E67E90">
      <w:pPr>
        <w:tabs>
          <w:tab w:val="left" w:pos="48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 Tunç Çatal</w:t>
      </w:r>
    </w:p>
    <w:p w:rsidR="00407568" w:rsidRDefault="00407568" w:rsidP="00E67E90">
      <w:pPr>
        <w:tabs>
          <w:tab w:val="left" w:pos="48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</w:t>
      </w:r>
      <w:r w:rsidR="0043531C">
        <w:rPr>
          <w:rFonts w:ascii="Times New Roman" w:hAnsi="Times New Roman" w:cs="Times New Roman"/>
          <w:b/>
        </w:rPr>
        <w:t>ölüm içi öğrenciye özel kota : 2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oKlavuzu"/>
        <w:tblpPr w:leftFromText="141" w:rightFromText="141" w:vertAnchor="page" w:horzAnchor="margin" w:tblpY="4936"/>
        <w:tblW w:w="15228" w:type="dxa"/>
        <w:tblLook w:val="04A0" w:firstRow="1" w:lastRow="0" w:firstColumn="1" w:lastColumn="0" w:noHBand="0" w:noVBand="1"/>
      </w:tblPr>
      <w:tblGrid>
        <w:gridCol w:w="3513"/>
        <w:gridCol w:w="1294"/>
        <w:gridCol w:w="1061"/>
        <w:gridCol w:w="787"/>
        <w:gridCol w:w="1385"/>
        <w:gridCol w:w="2078"/>
        <w:gridCol w:w="3607"/>
        <w:gridCol w:w="1503"/>
      </w:tblGrid>
      <w:tr w:rsidR="009D3250" w:rsidRPr="00632E88" w:rsidTr="00A44B17">
        <w:trPr>
          <w:trHeight w:val="412"/>
        </w:trPr>
        <w:tc>
          <w:tcPr>
            <w:tcW w:w="3513" w:type="dxa"/>
            <w:shd w:val="clear" w:color="auto" w:fill="A8D08D" w:themeFill="accent6" w:themeFillTint="99"/>
            <w:vAlign w:val="center"/>
          </w:tcPr>
          <w:p w:rsidR="009D3250" w:rsidRPr="000B7D8A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>Project Topic</w:t>
            </w:r>
          </w:p>
        </w:tc>
        <w:tc>
          <w:tcPr>
            <w:tcW w:w="1294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061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787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1385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Open Quota</w:t>
            </w:r>
          </w:p>
        </w:tc>
        <w:tc>
          <w:tcPr>
            <w:tcW w:w="2078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Eligible Departments</w:t>
            </w:r>
          </w:p>
        </w:tc>
        <w:tc>
          <w:tcPr>
            <w:tcW w:w="3607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1503" w:type="dxa"/>
            <w:shd w:val="clear" w:color="auto" w:fill="A8D08D" w:themeFill="accent6" w:themeFillTint="99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Accepted Students</w:t>
            </w:r>
          </w:p>
        </w:tc>
      </w:tr>
      <w:tr w:rsidR="009D3250" w:rsidRPr="00632E88" w:rsidTr="00A44B17">
        <w:trPr>
          <w:trHeight w:val="225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ffects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ntibiotic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sychosis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induced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leep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eprivation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 xml:space="preserve">odel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>ats (</w:t>
            </w:r>
            <w:r w:rsidRPr="000B7D8A">
              <w:rPr>
                <w:rFonts w:ascii="Times New Roman" w:hAnsi="Times New Roman" w:cs="Times New Roman"/>
                <w:i/>
                <w:sz w:val="20"/>
                <w:szCs w:val="20"/>
              </w:rPr>
              <w:t>Rattus norvegicus</w:t>
            </w:r>
            <w:r w:rsidRPr="000B7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Gözde Karakadıoğlu</w:t>
            </w:r>
          </w:p>
        </w:tc>
      </w:tr>
      <w:tr w:rsidR="009D3250" w:rsidRPr="00632E88" w:rsidTr="00A44B17">
        <w:trPr>
          <w:trHeight w:val="184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Isolation and molecular characterization of a novel microalgae for industrial applications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Şehnaz Yavaşer</w:t>
            </w:r>
          </w:p>
        </w:tc>
      </w:tr>
      <w:tr w:rsidR="009D3250" w:rsidRPr="00632E88" w:rsidTr="00A44B17">
        <w:trPr>
          <w:trHeight w:val="195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Cytotoxic effects of a novel microalgae isolate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0838E3" w:rsidP="0008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Bioengineering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Rümeysa Cebecioğlu</w:t>
            </w:r>
          </w:p>
        </w:tc>
      </w:tr>
      <w:tr w:rsidR="009D3250" w:rsidRPr="00632E88" w:rsidTr="00A44B17">
        <w:trPr>
          <w:trHeight w:val="135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 optimization for </w:t>
            </w:r>
            <w:r w:rsidRPr="00EC3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pilot study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TR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Betül Zehra Karakuş</w:t>
            </w:r>
          </w:p>
        </w:tc>
      </w:tr>
      <w:tr w:rsidR="009D3250" w:rsidRPr="00632E88" w:rsidTr="00A44B17">
        <w:trPr>
          <w:trHeight w:val="120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Isolation and molecular characterization of </w:t>
            </w:r>
            <w:r w:rsidRPr="00EC3170">
              <w:rPr>
                <w:rFonts w:ascii="Times New Roman" w:hAnsi="Times New Roman" w:cs="Times New Roman"/>
                <w:i/>
                <w:sz w:val="20"/>
                <w:szCs w:val="20"/>
              </w:rPr>
              <w:t>Bacillus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for amylase production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TR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Kübra Demirci</w:t>
            </w:r>
          </w:p>
        </w:tc>
      </w:tr>
      <w:tr w:rsidR="009D3250" w:rsidRPr="00632E88" w:rsidTr="00A44B17">
        <w:trPr>
          <w:trHeight w:val="70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Reverse metabolic engineering of </w:t>
            </w:r>
            <w:r w:rsidRPr="00EC3170">
              <w:rPr>
                <w:rFonts w:ascii="Times New Roman" w:hAnsi="Times New Roman" w:cs="Times New Roman"/>
                <w:i/>
                <w:sz w:val="20"/>
                <w:szCs w:val="20"/>
              </w:rPr>
              <w:t>Bacillus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for the production of thermo-stable amylase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Bioengineering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İlknur Korkmaz</w:t>
            </w:r>
          </w:p>
        </w:tc>
      </w:tr>
      <w:tr w:rsidR="009D3250" w:rsidRPr="00632E88" w:rsidTr="00A44B17">
        <w:trPr>
          <w:trHeight w:val="95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 optimization of cellulase production by white-rot fungi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Bioengineering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Nazan Taş Öngel</w:t>
            </w:r>
          </w:p>
        </w:tc>
      </w:tr>
      <w:tr w:rsidR="009D3250" w:rsidRPr="00632E88" w:rsidTr="00A44B17">
        <w:trPr>
          <w:trHeight w:val="95"/>
        </w:trPr>
        <w:tc>
          <w:tcPr>
            <w:tcW w:w="351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Isolation and molecular identification of a novel cellulase-producer fungi</w:t>
            </w:r>
          </w:p>
        </w:tc>
        <w:tc>
          <w:tcPr>
            <w:tcW w:w="1294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061" w:type="dxa"/>
          </w:tcPr>
          <w:p w:rsidR="009D3250" w:rsidRDefault="009D3250" w:rsidP="00A44B17">
            <w:pPr>
              <w:jc w:val="center"/>
            </w:pPr>
            <w:r w:rsidRPr="00A45D3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78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Bioengineering</w:t>
            </w:r>
          </w:p>
        </w:tc>
        <w:tc>
          <w:tcPr>
            <w:tcW w:w="3607" w:type="dxa"/>
            <w:vAlign w:val="center"/>
          </w:tcPr>
          <w:p w:rsidR="009D3250" w:rsidRPr="00632E88" w:rsidRDefault="009D3250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9D3250" w:rsidRPr="00632E88" w:rsidRDefault="009D3250" w:rsidP="00A4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Dilan Akagündüz</w:t>
            </w:r>
          </w:p>
        </w:tc>
      </w:tr>
      <w:tr w:rsidR="009D3250" w:rsidRPr="00632E88" w:rsidTr="00A44B17">
        <w:trPr>
          <w:trHeight w:val="677"/>
        </w:trPr>
        <w:tc>
          <w:tcPr>
            <w:tcW w:w="13725" w:type="dxa"/>
            <w:gridSpan w:val="7"/>
            <w:vAlign w:val="center"/>
          </w:tcPr>
          <w:p w:rsidR="009D3250" w:rsidRPr="009913E3" w:rsidRDefault="009D3250" w:rsidP="00A44B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E3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STUDENTS (OPEN / TOTAL QUOTA)</w:t>
            </w:r>
          </w:p>
        </w:tc>
        <w:tc>
          <w:tcPr>
            <w:tcW w:w="1503" w:type="dxa"/>
            <w:vAlign w:val="center"/>
          </w:tcPr>
          <w:p w:rsidR="009D3250" w:rsidRPr="00632E88" w:rsidRDefault="00AC0F5A" w:rsidP="00A4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/ </w:t>
            </w:r>
            <w:r w:rsidR="009D3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74996" w:rsidRDefault="003749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5707" w:rsidRDefault="00E95707" w:rsidP="003749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Yrd. Doç. Dr. Pınar Öz</w:t>
      </w:r>
    </w:p>
    <w:p w:rsidR="00407568" w:rsidRDefault="00407568" w:rsidP="008E6FB0">
      <w:pPr>
        <w:tabs>
          <w:tab w:val="left" w:pos="480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(Bölüm içi öğrenciye özel kota : </w:t>
      </w:r>
      <w:r w:rsidR="00A44B1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oKlavuzu"/>
        <w:tblpPr w:leftFromText="141" w:rightFromText="141" w:vertAnchor="page" w:horzAnchor="margin" w:tblpY="3105"/>
        <w:tblW w:w="15228" w:type="dxa"/>
        <w:tblLook w:val="04A0" w:firstRow="1" w:lastRow="0" w:firstColumn="1" w:lastColumn="0" w:noHBand="0" w:noVBand="1"/>
      </w:tblPr>
      <w:tblGrid>
        <w:gridCol w:w="3823"/>
        <w:gridCol w:w="1294"/>
        <w:gridCol w:w="1115"/>
        <w:gridCol w:w="750"/>
        <w:gridCol w:w="810"/>
        <w:gridCol w:w="1327"/>
        <w:gridCol w:w="3917"/>
        <w:gridCol w:w="2192"/>
      </w:tblGrid>
      <w:tr w:rsidR="002C33B8" w:rsidRPr="00632E88" w:rsidTr="00B96EC8">
        <w:trPr>
          <w:trHeight w:val="412"/>
        </w:trPr>
        <w:tc>
          <w:tcPr>
            <w:tcW w:w="3823" w:type="dxa"/>
            <w:shd w:val="clear" w:color="auto" w:fill="A8D08D" w:themeFill="accent6" w:themeFillTint="99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Project Topic</w:t>
            </w:r>
          </w:p>
        </w:tc>
        <w:tc>
          <w:tcPr>
            <w:tcW w:w="1294" w:type="dxa"/>
            <w:shd w:val="clear" w:color="auto" w:fill="A8D08D" w:themeFill="accent6" w:themeFillTint="99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115" w:type="dxa"/>
            <w:shd w:val="clear" w:color="auto" w:fill="A8D08D" w:themeFill="accent6" w:themeFillTint="99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750" w:type="dxa"/>
            <w:shd w:val="clear" w:color="auto" w:fill="A8D08D" w:themeFill="accent6" w:themeFillTint="99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Open Quota</w:t>
            </w:r>
          </w:p>
        </w:tc>
        <w:tc>
          <w:tcPr>
            <w:tcW w:w="1327" w:type="dxa"/>
            <w:shd w:val="clear" w:color="auto" w:fill="A8D08D" w:themeFill="accent6" w:themeFillTint="99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Eligible Departments</w:t>
            </w:r>
          </w:p>
        </w:tc>
        <w:tc>
          <w:tcPr>
            <w:tcW w:w="3917" w:type="dxa"/>
            <w:shd w:val="clear" w:color="auto" w:fill="A8D08D" w:themeFill="accent6" w:themeFillTint="99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2192" w:type="dxa"/>
            <w:shd w:val="clear" w:color="auto" w:fill="A8D08D" w:themeFill="accent6" w:themeFillTint="99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Accepted Students</w:t>
            </w:r>
          </w:p>
        </w:tc>
      </w:tr>
      <w:tr w:rsidR="002C33B8" w:rsidRPr="00632E88" w:rsidTr="00B96EC8">
        <w:trPr>
          <w:trHeight w:val="516"/>
        </w:trPr>
        <w:tc>
          <w:tcPr>
            <w:tcW w:w="3823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Modulation of neural progenitor cell differentiation by physical environment</w:t>
            </w:r>
          </w:p>
        </w:tc>
        <w:tc>
          <w:tcPr>
            <w:tcW w:w="1294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1115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 /TR</w:t>
            </w:r>
          </w:p>
        </w:tc>
        <w:tc>
          <w:tcPr>
            <w:tcW w:w="75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MBG TR</w:t>
            </w:r>
          </w:p>
        </w:tc>
        <w:tc>
          <w:tcPr>
            <w:tcW w:w="3917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Efe Cuma Yavuzsoy</w:t>
            </w:r>
          </w:p>
        </w:tc>
      </w:tr>
      <w:tr w:rsidR="002C33B8" w:rsidRPr="00632E88" w:rsidTr="00B96EC8">
        <w:trPr>
          <w:trHeight w:val="516"/>
        </w:trPr>
        <w:tc>
          <w:tcPr>
            <w:tcW w:w="3823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Epigenetic regulation of prepulse inhibition</w:t>
            </w: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 response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rats</w:t>
            </w:r>
          </w:p>
        </w:tc>
        <w:tc>
          <w:tcPr>
            <w:tcW w:w="1294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1115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Ümmügülsüm Mirzanlı</w:t>
            </w:r>
          </w:p>
        </w:tc>
      </w:tr>
      <w:tr w:rsidR="002C33B8" w:rsidRPr="00632E88" w:rsidTr="00B96EC8">
        <w:trPr>
          <w:trHeight w:val="516"/>
        </w:trPr>
        <w:tc>
          <w:tcPr>
            <w:tcW w:w="3823" w:type="dxa"/>
            <w:vMerge w:val="restart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Modulation of OX1R and OX2R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activity o</w:t>
            </w: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rat model of </w:t>
            </w: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 prepulse inhibition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impairment</w:t>
            </w:r>
          </w:p>
        </w:tc>
        <w:tc>
          <w:tcPr>
            <w:tcW w:w="1294" w:type="dxa"/>
            <w:vMerge w:val="restart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1115" w:type="dxa"/>
            <w:vMerge w:val="restart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Merge w:val="restart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Merge w:val="restart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Merge w:val="restart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Fatmanur Akpunar</w:t>
            </w:r>
          </w:p>
        </w:tc>
      </w:tr>
      <w:tr w:rsidR="002C33B8" w:rsidRPr="00632E88" w:rsidTr="00B96EC8">
        <w:trPr>
          <w:trHeight w:val="516"/>
        </w:trPr>
        <w:tc>
          <w:tcPr>
            <w:tcW w:w="3823" w:type="dxa"/>
            <w:vMerge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2C33B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C33B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C33B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Çağla Tufanç</w:t>
            </w:r>
          </w:p>
        </w:tc>
      </w:tr>
      <w:tr w:rsidR="002C33B8" w:rsidRPr="00632E88" w:rsidTr="00B96EC8">
        <w:trPr>
          <w:trHeight w:val="516"/>
        </w:trPr>
        <w:tc>
          <w:tcPr>
            <w:tcW w:w="3823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Cytoskeletal modulation of neural function</w:t>
            </w:r>
          </w:p>
        </w:tc>
        <w:tc>
          <w:tcPr>
            <w:tcW w:w="1294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</w:p>
        </w:tc>
        <w:tc>
          <w:tcPr>
            <w:tcW w:w="1115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2C33B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C33B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C33B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Fırat Altuntaş</w:t>
            </w:r>
          </w:p>
        </w:tc>
      </w:tr>
      <w:tr w:rsidR="002C33B8" w:rsidRPr="00632E88" w:rsidTr="00B96EC8">
        <w:trPr>
          <w:trHeight w:val="516"/>
        </w:trPr>
        <w:tc>
          <w:tcPr>
            <w:tcW w:w="3823" w:type="dxa"/>
            <w:vMerge w:val="restart"/>
            <w:vAlign w:val="center"/>
          </w:tcPr>
          <w:p w:rsidR="002C33B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effect of phytohormones</w:t>
            </w: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 on depression</w:t>
            </w:r>
          </w:p>
        </w:tc>
        <w:tc>
          <w:tcPr>
            <w:tcW w:w="1294" w:type="dxa"/>
            <w:vMerge w:val="restart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2C33B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C33B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C33B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Şeyma Tomete </w:t>
            </w:r>
          </w:p>
        </w:tc>
      </w:tr>
      <w:tr w:rsidR="002C33B8" w:rsidRPr="00632E88" w:rsidTr="00B96EC8">
        <w:trPr>
          <w:trHeight w:val="551"/>
        </w:trPr>
        <w:tc>
          <w:tcPr>
            <w:tcW w:w="3823" w:type="dxa"/>
            <w:vMerge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 /TR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TR</w:t>
            </w:r>
          </w:p>
        </w:tc>
        <w:tc>
          <w:tcPr>
            <w:tcW w:w="3917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Nida Dereli</w:t>
            </w:r>
          </w:p>
        </w:tc>
      </w:tr>
      <w:tr w:rsidR="002C33B8" w:rsidRPr="00632E88" w:rsidTr="00B96EC8">
        <w:trPr>
          <w:trHeight w:val="559"/>
        </w:trPr>
        <w:tc>
          <w:tcPr>
            <w:tcW w:w="3823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Axon initial segment structure, function, development and plasticity</w:t>
            </w:r>
          </w:p>
        </w:tc>
        <w:tc>
          <w:tcPr>
            <w:tcW w:w="1294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15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C33B8" w:rsidRPr="00CB5D3E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C33B8" w:rsidRPr="00A21B37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Büşra Çetin </w:t>
            </w:r>
          </w:p>
        </w:tc>
      </w:tr>
      <w:tr w:rsidR="002C33B8" w:rsidRPr="00632E88" w:rsidTr="00B96EC8">
        <w:trPr>
          <w:trHeight w:val="559"/>
        </w:trPr>
        <w:tc>
          <w:tcPr>
            <w:tcW w:w="3823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The effect of antibiotics on depression</w:t>
            </w:r>
          </w:p>
        </w:tc>
        <w:tc>
          <w:tcPr>
            <w:tcW w:w="1294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Bilge Ünal</w:t>
            </w:r>
          </w:p>
        </w:tc>
      </w:tr>
      <w:tr w:rsidR="002C33B8" w:rsidRPr="00632E88" w:rsidTr="00B96EC8">
        <w:trPr>
          <w:trHeight w:val="520"/>
        </w:trPr>
        <w:tc>
          <w:tcPr>
            <w:tcW w:w="3823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 neurogenesis and pyramidal neuron development in the mammalian brain</w:t>
            </w:r>
          </w:p>
        </w:tc>
        <w:tc>
          <w:tcPr>
            <w:tcW w:w="1294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15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C33B8" w:rsidRPr="00CB5D3E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917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C33B8" w:rsidRPr="00632E8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Gamzegül Çavuş</w:t>
            </w:r>
          </w:p>
        </w:tc>
      </w:tr>
      <w:tr w:rsidR="002C33B8" w:rsidRPr="00632E88" w:rsidTr="00B96EC8">
        <w:trPr>
          <w:trHeight w:val="520"/>
        </w:trPr>
        <w:tc>
          <w:tcPr>
            <w:tcW w:w="3823" w:type="dxa"/>
            <w:vAlign w:val="center"/>
          </w:tcPr>
          <w:p w:rsidR="002C33B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Two-dimensional and three-dimensional hydrogel scaffold design for neural stem cell cultures</w:t>
            </w:r>
          </w:p>
        </w:tc>
        <w:tc>
          <w:tcPr>
            <w:tcW w:w="1294" w:type="dxa"/>
            <w:vAlign w:val="center"/>
          </w:tcPr>
          <w:p w:rsidR="002C33B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15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75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C33B8" w:rsidRPr="00632E8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2C33B8" w:rsidRDefault="002C33B8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</w:t>
            </w:r>
          </w:p>
        </w:tc>
        <w:tc>
          <w:tcPr>
            <w:tcW w:w="3917" w:type="dxa"/>
            <w:vAlign w:val="center"/>
          </w:tcPr>
          <w:p w:rsidR="002C33B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2" w:type="dxa"/>
            <w:vAlign w:val="center"/>
          </w:tcPr>
          <w:p w:rsidR="002C33B8" w:rsidRDefault="002C33B8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Nurdan Çam</w:t>
            </w:r>
          </w:p>
        </w:tc>
      </w:tr>
      <w:tr w:rsidR="009A5737" w:rsidRPr="00632E88" w:rsidTr="00B96EC8">
        <w:trPr>
          <w:trHeight w:val="520"/>
        </w:trPr>
        <w:tc>
          <w:tcPr>
            <w:tcW w:w="3823" w:type="dxa"/>
            <w:vAlign w:val="center"/>
          </w:tcPr>
          <w:p w:rsidR="009A5737" w:rsidRDefault="009A5737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9A5737" w:rsidRDefault="009A5737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9A5737" w:rsidRDefault="009A5737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9A5737" w:rsidRDefault="009A5737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A5737" w:rsidRDefault="009A5737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A5737" w:rsidRDefault="009A5737" w:rsidP="00B9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9A5737" w:rsidRDefault="009A5737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9A5737" w:rsidRDefault="009A5737" w:rsidP="00B96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Nazenin AKIN</w:t>
            </w:r>
          </w:p>
        </w:tc>
      </w:tr>
      <w:tr w:rsidR="002C33B8" w:rsidRPr="00632E88" w:rsidTr="00B96EC8">
        <w:trPr>
          <w:trHeight w:val="677"/>
        </w:trPr>
        <w:tc>
          <w:tcPr>
            <w:tcW w:w="13036" w:type="dxa"/>
            <w:gridSpan w:val="7"/>
            <w:vAlign w:val="center"/>
          </w:tcPr>
          <w:p w:rsidR="002C33B8" w:rsidRPr="007E6A2D" w:rsidRDefault="002C33B8" w:rsidP="00B96E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A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TOTAL NUMBER OF STUDENTS (OPEN / TOTAL QUOTA)</w:t>
            </w:r>
          </w:p>
        </w:tc>
        <w:tc>
          <w:tcPr>
            <w:tcW w:w="2192" w:type="dxa"/>
            <w:vAlign w:val="center"/>
          </w:tcPr>
          <w:p w:rsidR="002C33B8" w:rsidRPr="007E6A2D" w:rsidRDefault="002C33B8" w:rsidP="00B96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A2D">
              <w:rPr>
                <w:rFonts w:ascii="Times New Roman" w:hAnsi="Times New Roman" w:cs="Times New Roman"/>
                <w:b/>
                <w:sz w:val="20"/>
                <w:szCs w:val="20"/>
              </w:rPr>
              <w:t>0/11</w:t>
            </w:r>
          </w:p>
        </w:tc>
      </w:tr>
    </w:tbl>
    <w:p w:rsidR="00BE4FAF" w:rsidRDefault="00BE4FAF" w:rsidP="00E95707">
      <w:pPr>
        <w:jc w:val="center"/>
        <w:rPr>
          <w:rFonts w:ascii="Times New Roman" w:hAnsi="Times New Roman" w:cs="Times New Roman"/>
          <w:b/>
        </w:rPr>
      </w:pPr>
    </w:p>
    <w:p w:rsidR="00E67E90" w:rsidRDefault="00E67E90" w:rsidP="004075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Yrd. Doç. Dr. Shirin Tarbiat</w:t>
      </w:r>
    </w:p>
    <w:p w:rsidR="00407568" w:rsidRDefault="00407568" w:rsidP="004075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(Bölüm içi öğrenciye özel kota : </w:t>
      </w:r>
      <w:r w:rsidR="00FF0059">
        <w:rPr>
          <w:rFonts w:ascii="Times New Roman" w:hAnsi="Times New Roman" w:cs="Times New Roman"/>
          <w:b/>
        </w:rPr>
        <w:t>8)</w:t>
      </w:r>
    </w:p>
    <w:p w:rsidR="00E67E90" w:rsidRDefault="00E67E90" w:rsidP="00E67E90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721"/>
        <w:tblW w:w="15228" w:type="dxa"/>
        <w:tblLook w:val="04A0" w:firstRow="1" w:lastRow="0" w:firstColumn="1" w:lastColumn="0" w:noHBand="0" w:noVBand="1"/>
      </w:tblPr>
      <w:tblGrid>
        <w:gridCol w:w="5524"/>
        <w:gridCol w:w="992"/>
        <w:gridCol w:w="1134"/>
        <w:gridCol w:w="992"/>
        <w:gridCol w:w="1276"/>
        <w:gridCol w:w="1984"/>
        <w:gridCol w:w="1823"/>
        <w:gridCol w:w="1503"/>
      </w:tblGrid>
      <w:tr w:rsidR="00FF0059" w:rsidRPr="00632E88" w:rsidTr="00FF0059">
        <w:trPr>
          <w:trHeight w:val="412"/>
        </w:trPr>
        <w:tc>
          <w:tcPr>
            <w:tcW w:w="5524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Project Topic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Open Quota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Eligible Departments</w:t>
            </w:r>
          </w:p>
        </w:tc>
        <w:tc>
          <w:tcPr>
            <w:tcW w:w="1823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1503" w:type="dxa"/>
            <w:shd w:val="clear" w:color="auto" w:fill="A8D08D" w:themeFill="accent6" w:themeFillTint="99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Accepted Students</w:t>
            </w:r>
          </w:p>
        </w:tc>
      </w:tr>
      <w:tr w:rsidR="00FF0059" w:rsidRPr="00632E88" w:rsidTr="00FF0059">
        <w:trPr>
          <w:trHeight w:val="660"/>
        </w:trPr>
        <w:tc>
          <w:tcPr>
            <w:tcW w:w="5524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54">
              <w:rPr>
                <w:rFonts w:ascii="Times New Roman" w:hAnsi="Times New Roman" w:cs="Times New Roman"/>
                <w:sz w:val="20"/>
                <w:szCs w:val="20"/>
              </w:rPr>
              <w:t>Peroxisome proliferator-activated receptor structures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mechanism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B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B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B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B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Rol of PPAR in neurodegenerati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Rol of PPAR in Obesit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LXR regulation of brain cholestro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ol of PPAR and RXR in cardiovascular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disease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PPAR alpha and dislipidemia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46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 xml:space="preserve">XR as therapeutic targets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F0059">
        <w:trPr>
          <w:trHeight w:val="870"/>
        </w:trPr>
        <w:tc>
          <w:tcPr>
            <w:tcW w:w="5524" w:type="dxa"/>
            <w:vAlign w:val="center"/>
          </w:tcPr>
          <w:p w:rsidR="00FF0059" w:rsidRPr="003C0754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8B">
              <w:rPr>
                <w:rFonts w:ascii="Times New Roman" w:hAnsi="Times New Roman" w:cs="Times New Roman"/>
                <w:sz w:val="20"/>
                <w:szCs w:val="20"/>
              </w:rPr>
              <w:t xml:space="preserve">Role of the peroxisome proliferator-activated receptors (PPAR)-α, β/δ and γ triad in regulation of reactive oxygen species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E2E8B">
              <w:rPr>
                <w:rFonts w:ascii="Times New Roman" w:hAnsi="Times New Roman" w:cs="Times New Roman"/>
                <w:sz w:val="20"/>
                <w:szCs w:val="20"/>
              </w:rPr>
              <w:t>ignaling in brain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13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992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182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59" w:rsidRPr="00632E88" w:rsidTr="00FB1BB0">
        <w:trPr>
          <w:trHeight w:val="677"/>
        </w:trPr>
        <w:tc>
          <w:tcPr>
            <w:tcW w:w="13725" w:type="dxa"/>
            <w:gridSpan w:val="7"/>
            <w:vAlign w:val="center"/>
          </w:tcPr>
          <w:p w:rsidR="00FF0059" w:rsidRPr="009913E3" w:rsidRDefault="00FF0059" w:rsidP="00FF00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9913E3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STUDENTS (OPEN / TOTAL QUOTA)</w:t>
            </w:r>
          </w:p>
        </w:tc>
        <w:tc>
          <w:tcPr>
            <w:tcW w:w="1503" w:type="dxa"/>
            <w:vAlign w:val="center"/>
          </w:tcPr>
          <w:p w:rsidR="00FF0059" w:rsidRPr="00FF0059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0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005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00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FF0059" w:rsidRDefault="00FF0059" w:rsidP="001B7A0D">
      <w:pPr>
        <w:jc w:val="center"/>
        <w:rPr>
          <w:rFonts w:ascii="Times New Roman" w:hAnsi="Times New Roman" w:cs="Times New Roman"/>
          <w:b/>
        </w:rPr>
      </w:pPr>
    </w:p>
    <w:p w:rsidR="00FF0059" w:rsidRDefault="00FF0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7A0D" w:rsidRDefault="00FF0059" w:rsidP="001B7A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Bölüm Dışı Öğretim Üyeleri</w:t>
      </w:r>
    </w:p>
    <w:p w:rsidR="00FF0059" w:rsidRDefault="00FF0059" w:rsidP="001B7A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Önerileri ve Öğrenci Eşleştirmeleri</w:t>
      </w:r>
    </w:p>
    <w:p w:rsidR="00FF0059" w:rsidRDefault="00FF0059" w:rsidP="001B7A0D">
      <w:pPr>
        <w:jc w:val="center"/>
        <w:rPr>
          <w:rFonts w:ascii="Times New Roman" w:hAnsi="Times New Roman" w:cs="Times New Roman"/>
          <w:b/>
        </w:rPr>
      </w:pPr>
    </w:p>
    <w:p w:rsidR="00FF0059" w:rsidRDefault="00FF0059" w:rsidP="001B7A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Yrd. Doç. Dr. Ahmet Can Timuçin (Kimya – Biyoloji Mühendisliği)</w:t>
      </w:r>
    </w:p>
    <w:tbl>
      <w:tblPr>
        <w:tblStyle w:val="TabloKlavuzu"/>
        <w:tblpPr w:leftFromText="141" w:rightFromText="141" w:vertAnchor="page" w:horzAnchor="margin" w:tblpY="4209"/>
        <w:tblW w:w="15388" w:type="dxa"/>
        <w:tblLook w:val="04A0" w:firstRow="1" w:lastRow="0" w:firstColumn="1" w:lastColumn="0" w:noHBand="0" w:noVBand="1"/>
      </w:tblPr>
      <w:tblGrid>
        <w:gridCol w:w="3229"/>
        <w:gridCol w:w="2076"/>
        <w:gridCol w:w="1659"/>
        <w:gridCol w:w="1191"/>
        <w:gridCol w:w="1337"/>
        <w:gridCol w:w="2102"/>
        <w:gridCol w:w="2808"/>
        <w:gridCol w:w="986"/>
      </w:tblGrid>
      <w:tr w:rsidR="00FF0059" w:rsidRPr="00632E88" w:rsidTr="00DC6A2D">
        <w:trPr>
          <w:trHeight w:val="412"/>
        </w:trPr>
        <w:tc>
          <w:tcPr>
            <w:tcW w:w="3298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Project Topic</w:t>
            </w:r>
          </w:p>
        </w:tc>
        <w:tc>
          <w:tcPr>
            <w:tcW w:w="1988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555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121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Quota</w:t>
            </w:r>
          </w:p>
        </w:tc>
        <w:tc>
          <w:tcPr>
            <w:tcW w:w="1353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Open Quota</w:t>
            </w:r>
          </w:p>
        </w:tc>
        <w:tc>
          <w:tcPr>
            <w:tcW w:w="1997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Eligible Departments</w:t>
            </w:r>
          </w:p>
        </w:tc>
        <w:tc>
          <w:tcPr>
            <w:tcW w:w="3090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986" w:type="dxa"/>
            <w:shd w:val="clear" w:color="auto" w:fill="A8D08D" w:themeFill="accent6" w:themeFillTint="99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b/>
                <w:sz w:val="20"/>
                <w:szCs w:val="20"/>
              </w:rPr>
              <w:t>Accepted Students</w:t>
            </w:r>
          </w:p>
        </w:tc>
      </w:tr>
      <w:tr w:rsidR="00FF0059" w:rsidRPr="00632E88" w:rsidTr="00DC6A2D">
        <w:trPr>
          <w:trHeight w:val="516"/>
        </w:trPr>
        <w:tc>
          <w:tcPr>
            <w:tcW w:w="3298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Computational Peptide Based Drug Design and Analysis</w:t>
            </w:r>
          </w:p>
        </w:tc>
        <w:tc>
          <w:tcPr>
            <w:tcW w:w="1988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Experimental </w:t>
            </w:r>
          </w:p>
        </w:tc>
        <w:tc>
          <w:tcPr>
            <w:tcW w:w="1555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</w:p>
        </w:tc>
        <w:tc>
          <w:tcPr>
            <w:tcW w:w="1121" w:type="dxa"/>
            <w:vAlign w:val="center"/>
          </w:tcPr>
          <w:p w:rsidR="00FF0059" w:rsidRPr="00632E88" w:rsidRDefault="00092144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FF0059" w:rsidRPr="00632E88" w:rsidRDefault="00092144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090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Experience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molecular biology related computational tools </w:t>
            </w:r>
          </w:p>
        </w:tc>
        <w:tc>
          <w:tcPr>
            <w:tcW w:w="986" w:type="dxa"/>
            <w:vAlign w:val="center"/>
          </w:tcPr>
          <w:p w:rsidR="00FF0059" w:rsidRPr="00632E88" w:rsidRDefault="00092144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YONCA ÖZTÜRK</w:t>
            </w:r>
          </w:p>
        </w:tc>
      </w:tr>
      <w:tr w:rsidR="00FF0059" w:rsidRPr="00632E88" w:rsidTr="00DC6A2D">
        <w:trPr>
          <w:trHeight w:val="520"/>
        </w:trPr>
        <w:tc>
          <w:tcPr>
            <w:tcW w:w="3298" w:type="dxa"/>
            <w:vAlign w:val="center"/>
          </w:tcPr>
          <w:p w:rsidR="00FF0059" w:rsidRPr="00632E88" w:rsidRDefault="00092144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Computational Peptide Based Drug Design and Analysis</w:t>
            </w:r>
          </w:p>
        </w:tc>
        <w:tc>
          <w:tcPr>
            <w:tcW w:w="1988" w:type="dxa"/>
            <w:vAlign w:val="center"/>
          </w:tcPr>
          <w:p w:rsidR="00FF0059" w:rsidRPr="00632E88" w:rsidRDefault="00092144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555" w:type="dxa"/>
            <w:vAlign w:val="center"/>
          </w:tcPr>
          <w:p w:rsidR="00FF0059" w:rsidRPr="00632E88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21" w:type="dxa"/>
            <w:vAlign w:val="center"/>
          </w:tcPr>
          <w:p w:rsidR="00FF0059" w:rsidRPr="00632E88" w:rsidRDefault="00092144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FF0059" w:rsidRPr="00632E88" w:rsidRDefault="00092144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FF0059" w:rsidRPr="00CB5D3E" w:rsidRDefault="00FF0059" w:rsidP="00FF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090" w:type="dxa"/>
            <w:vAlign w:val="center"/>
          </w:tcPr>
          <w:p w:rsidR="00FF0059" w:rsidRPr="00632E88" w:rsidRDefault="00FF0059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able to search and find information in scientific papers and databases</w:t>
            </w:r>
          </w:p>
        </w:tc>
        <w:tc>
          <w:tcPr>
            <w:tcW w:w="986" w:type="dxa"/>
            <w:vAlign w:val="center"/>
          </w:tcPr>
          <w:p w:rsidR="00FF0059" w:rsidRPr="00632E88" w:rsidRDefault="00E752DD" w:rsidP="00FF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SİNEM SELVİ </w:t>
            </w:r>
          </w:p>
        </w:tc>
      </w:tr>
      <w:tr w:rsidR="00092144" w:rsidRPr="00632E88" w:rsidTr="00DC6A2D">
        <w:trPr>
          <w:trHeight w:val="520"/>
        </w:trPr>
        <w:tc>
          <w:tcPr>
            <w:tcW w:w="3298" w:type="dxa"/>
            <w:vAlign w:val="center"/>
          </w:tcPr>
          <w:p w:rsidR="00092144" w:rsidRDefault="00092144" w:rsidP="0009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inhibitors of BACH1/BACH2 Transcriptional Repressor</w:t>
            </w:r>
          </w:p>
        </w:tc>
        <w:tc>
          <w:tcPr>
            <w:tcW w:w="1988" w:type="dxa"/>
            <w:vAlign w:val="center"/>
          </w:tcPr>
          <w:p w:rsidR="00092144" w:rsidRDefault="00092144" w:rsidP="0009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555" w:type="dxa"/>
            <w:vAlign w:val="center"/>
          </w:tcPr>
          <w:p w:rsidR="00092144" w:rsidRDefault="00092144" w:rsidP="00092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21" w:type="dxa"/>
            <w:vAlign w:val="center"/>
          </w:tcPr>
          <w:p w:rsidR="00092144" w:rsidRDefault="00092144" w:rsidP="00092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092144" w:rsidRDefault="00092144" w:rsidP="00092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92144" w:rsidRPr="00320822" w:rsidRDefault="00092144" w:rsidP="0032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41"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090" w:type="dxa"/>
            <w:vAlign w:val="center"/>
          </w:tcPr>
          <w:p w:rsidR="00092144" w:rsidRPr="00632E88" w:rsidRDefault="00092144" w:rsidP="0009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 xml:space="preserve">Experience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molecular biology related computational tools </w:t>
            </w:r>
          </w:p>
        </w:tc>
        <w:tc>
          <w:tcPr>
            <w:tcW w:w="986" w:type="dxa"/>
            <w:vAlign w:val="center"/>
          </w:tcPr>
          <w:p w:rsidR="00092144" w:rsidRDefault="00092144" w:rsidP="0009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RANA NUR AYTUN</w:t>
            </w:r>
          </w:p>
        </w:tc>
      </w:tr>
      <w:tr w:rsidR="00092144" w:rsidRPr="00632E88" w:rsidTr="00DC6A2D">
        <w:trPr>
          <w:trHeight w:val="520"/>
        </w:trPr>
        <w:tc>
          <w:tcPr>
            <w:tcW w:w="3298" w:type="dxa"/>
            <w:vAlign w:val="center"/>
          </w:tcPr>
          <w:p w:rsidR="00092144" w:rsidRDefault="00092144" w:rsidP="0009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inhibitors of BACH1/BACH2 Transcriptional Repressor</w:t>
            </w:r>
          </w:p>
        </w:tc>
        <w:tc>
          <w:tcPr>
            <w:tcW w:w="1988" w:type="dxa"/>
            <w:vAlign w:val="center"/>
          </w:tcPr>
          <w:p w:rsidR="00092144" w:rsidRDefault="00092144" w:rsidP="0009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555" w:type="dxa"/>
            <w:vAlign w:val="center"/>
          </w:tcPr>
          <w:p w:rsidR="00092144" w:rsidRDefault="00092144" w:rsidP="00092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21" w:type="dxa"/>
            <w:vAlign w:val="center"/>
          </w:tcPr>
          <w:p w:rsidR="00092144" w:rsidRDefault="00092144" w:rsidP="00092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092144" w:rsidRDefault="00092144" w:rsidP="00092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92144" w:rsidRPr="00320822" w:rsidRDefault="00092144" w:rsidP="0032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41"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090" w:type="dxa"/>
            <w:vAlign w:val="center"/>
          </w:tcPr>
          <w:p w:rsidR="00092144" w:rsidRPr="00632E88" w:rsidRDefault="00092144" w:rsidP="0009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able to search and find information in scientific papers and databases</w:t>
            </w:r>
          </w:p>
        </w:tc>
        <w:tc>
          <w:tcPr>
            <w:tcW w:w="986" w:type="dxa"/>
            <w:vAlign w:val="center"/>
          </w:tcPr>
          <w:p w:rsidR="00092144" w:rsidRDefault="00E752DD" w:rsidP="0009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BÜŞRA AKBAL</w:t>
            </w:r>
          </w:p>
        </w:tc>
      </w:tr>
      <w:tr w:rsidR="003C4990" w:rsidRPr="00632E88" w:rsidTr="00DC6A2D">
        <w:trPr>
          <w:trHeight w:val="520"/>
        </w:trPr>
        <w:tc>
          <w:tcPr>
            <w:tcW w:w="3298" w:type="dxa"/>
            <w:vAlign w:val="center"/>
          </w:tcPr>
          <w:p w:rsidR="003C4990" w:rsidRDefault="003C4990" w:rsidP="003C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The evolution of the CoiA protein and its role in the genetic recombination</w:t>
            </w:r>
          </w:p>
        </w:tc>
        <w:tc>
          <w:tcPr>
            <w:tcW w:w="1988" w:type="dxa"/>
            <w:vAlign w:val="center"/>
          </w:tcPr>
          <w:p w:rsidR="003C4990" w:rsidRDefault="003C4990" w:rsidP="003C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555" w:type="dxa"/>
            <w:vAlign w:val="center"/>
          </w:tcPr>
          <w:p w:rsidR="003C4990" w:rsidRDefault="003C4990" w:rsidP="003C4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21" w:type="dxa"/>
            <w:vAlign w:val="center"/>
          </w:tcPr>
          <w:p w:rsidR="003C4990" w:rsidRDefault="003C4990" w:rsidP="003C4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3C4990" w:rsidRDefault="003C4990" w:rsidP="003C4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3C4990" w:rsidRPr="00320822" w:rsidRDefault="003C4990" w:rsidP="0032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41"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090" w:type="dxa"/>
            <w:vAlign w:val="center"/>
          </w:tcPr>
          <w:p w:rsidR="003C4990" w:rsidRDefault="00DC6A2D" w:rsidP="003C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86" w:type="dxa"/>
            <w:vAlign w:val="center"/>
          </w:tcPr>
          <w:p w:rsidR="003C4990" w:rsidRDefault="003C4990" w:rsidP="003C499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FERAS BARAKAT</w:t>
            </w:r>
          </w:p>
        </w:tc>
      </w:tr>
      <w:tr w:rsidR="00DC6A2D" w:rsidRPr="00632E88" w:rsidTr="00DC6A2D">
        <w:trPr>
          <w:trHeight w:val="520"/>
        </w:trPr>
        <w:tc>
          <w:tcPr>
            <w:tcW w:w="3298" w:type="dxa"/>
            <w:vAlign w:val="center"/>
          </w:tcPr>
          <w:p w:rsidR="00DC6A2D" w:rsidRDefault="00DC6A2D" w:rsidP="00DC6A2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Design of a dimerization inhibitor peptide for NFAT5</w:t>
            </w:r>
          </w:p>
        </w:tc>
        <w:tc>
          <w:tcPr>
            <w:tcW w:w="1988" w:type="dxa"/>
            <w:vAlign w:val="center"/>
          </w:tcPr>
          <w:p w:rsidR="00DC6A2D" w:rsidRPr="00632E88" w:rsidRDefault="00DC6A2D" w:rsidP="00DC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88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555" w:type="dxa"/>
            <w:vAlign w:val="center"/>
          </w:tcPr>
          <w:p w:rsidR="00DC6A2D" w:rsidRDefault="00DC6A2D" w:rsidP="00DC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21" w:type="dxa"/>
            <w:vAlign w:val="center"/>
          </w:tcPr>
          <w:p w:rsidR="00DC6A2D" w:rsidRDefault="00DC6A2D" w:rsidP="00DC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DC6A2D" w:rsidRDefault="00DC6A2D" w:rsidP="00DC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DC6A2D" w:rsidRPr="00320822" w:rsidRDefault="00DC6A2D" w:rsidP="0032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041">
              <w:rPr>
                <w:rFonts w:ascii="Times New Roman" w:hAnsi="Times New Roman" w:cs="Times New Roman"/>
                <w:sz w:val="20"/>
                <w:szCs w:val="20"/>
              </w:rPr>
              <w:t>MBG EN</w:t>
            </w:r>
          </w:p>
        </w:tc>
        <w:tc>
          <w:tcPr>
            <w:tcW w:w="3090" w:type="dxa"/>
            <w:vAlign w:val="center"/>
          </w:tcPr>
          <w:p w:rsidR="00DC6A2D" w:rsidRDefault="00DC6A2D" w:rsidP="00DC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86" w:type="dxa"/>
            <w:vAlign w:val="center"/>
          </w:tcPr>
          <w:p w:rsidR="00DC6A2D" w:rsidRDefault="00DC6A2D" w:rsidP="00DC6A2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Sümeyye Can</w:t>
            </w:r>
          </w:p>
        </w:tc>
      </w:tr>
      <w:tr w:rsidR="00DC6A2D" w:rsidRPr="00632E88" w:rsidTr="00DC6A2D">
        <w:trPr>
          <w:trHeight w:val="677"/>
        </w:trPr>
        <w:tc>
          <w:tcPr>
            <w:tcW w:w="14402" w:type="dxa"/>
            <w:gridSpan w:val="7"/>
            <w:vAlign w:val="center"/>
          </w:tcPr>
          <w:tbl>
            <w:tblPr>
              <w:tblStyle w:val="TabloKlavuzu"/>
              <w:tblpPr w:leftFromText="141" w:rightFromText="141" w:vertAnchor="page" w:horzAnchor="margin" w:tblpY="585"/>
              <w:tblW w:w="15228" w:type="dxa"/>
              <w:tblLook w:val="04A0" w:firstRow="1" w:lastRow="0" w:firstColumn="1" w:lastColumn="0" w:noHBand="0" w:noVBand="1"/>
            </w:tblPr>
            <w:tblGrid>
              <w:gridCol w:w="4815"/>
              <w:gridCol w:w="992"/>
              <w:gridCol w:w="1418"/>
              <w:gridCol w:w="750"/>
              <w:gridCol w:w="1659"/>
              <w:gridCol w:w="1843"/>
              <w:gridCol w:w="1418"/>
              <w:gridCol w:w="2333"/>
            </w:tblGrid>
            <w:tr w:rsidR="00DC6A2D" w:rsidRPr="00632E88" w:rsidTr="004312DD">
              <w:trPr>
                <w:trHeight w:val="412"/>
              </w:trPr>
              <w:tc>
                <w:tcPr>
                  <w:tcW w:w="4815" w:type="dxa"/>
                  <w:shd w:val="clear" w:color="auto" w:fill="A8D08D" w:themeFill="accent6" w:themeFillTint="99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2E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Project Topic</w:t>
                  </w:r>
                </w:p>
              </w:tc>
              <w:tc>
                <w:tcPr>
                  <w:tcW w:w="992" w:type="dxa"/>
                  <w:shd w:val="clear" w:color="auto" w:fill="A8D08D" w:themeFill="accent6" w:themeFillTint="99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418" w:type="dxa"/>
                  <w:shd w:val="clear" w:color="auto" w:fill="A8D08D" w:themeFill="accent6" w:themeFillTint="99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2E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750" w:type="dxa"/>
                  <w:shd w:val="clear" w:color="auto" w:fill="A8D08D" w:themeFill="accent6" w:themeFillTint="99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2E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Quota</w:t>
                  </w:r>
                </w:p>
              </w:tc>
              <w:tc>
                <w:tcPr>
                  <w:tcW w:w="1659" w:type="dxa"/>
                  <w:shd w:val="clear" w:color="auto" w:fill="A8D08D" w:themeFill="accent6" w:themeFillTint="99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2E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Open Quota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2E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Eligible Departments</w:t>
                  </w:r>
                </w:p>
              </w:tc>
              <w:tc>
                <w:tcPr>
                  <w:tcW w:w="1418" w:type="dxa"/>
                  <w:shd w:val="clear" w:color="auto" w:fill="A8D08D" w:themeFill="accent6" w:themeFillTint="99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2E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Conditions</w:t>
                  </w:r>
                </w:p>
              </w:tc>
              <w:tc>
                <w:tcPr>
                  <w:tcW w:w="2333" w:type="dxa"/>
                  <w:shd w:val="clear" w:color="auto" w:fill="A8D08D" w:themeFill="accent6" w:themeFillTint="99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32E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Accepted Students</w:t>
                  </w:r>
                </w:p>
              </w:tc>
            </w:tr>
            <w:tr w:rsidR="00DC6A2D" w:rsidRPr="00632E88" w:rsidTr="004312DD">
              <w:trPr>
                <w:trHeight w:val="662"/>
              </w:trPr>
              <w:tc>
                <w:tcPr>
                  <w:tcW w:w="4815" w:type="dxa"/>
                  <w:vMerge w:val="restart"/>
                  <w:vAlign w:val="center"/>
                </w:tcPr>
                <w:p w:rsidR="00DC6A2D" w:rsidRPr="00632E88" w:rsidRDefault="00DC6A2D" w:rsidP="00DC6A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Biomimetic Chemistry and Synthetic Biology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DC6A2D" w:rsidRPr="00632E88" w:rsidRDefault="00DC6A2D" w:rsidP="00DC6A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Review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</w:t>
                  </w:r>
                </w:p>
              </w:tc>
              <w:tc>
                <w:tcPr>
                  <w:tcW w:w="750" w:type="dxa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9" w:type="dxa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center"/>
                </w:tcPr>
                <w:p w:rsidR="00DC6A2D" w:rsidRPr="00632E88" w:rsidRDefault="00DC6A2D" w:rsidP="00DC6A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MBG EN</w:t>
                  </w:r>
                </w:p>
              </w:tc>
              <w:tc>
                <w:tcPr>
                  <w:tcW w:w="1418" w:type="dxa"/>
                  <w:vAlign w:val="center"/>
                </w:tcPr>
                <w:p w:rsidR="00DC6A2D" w:rsidRPr="00632E88" w:rsidRDefault="00DC6A2D" w:rsidP="00DC6A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3" w:type="dxa"/>
                  <w:vAlign w:val="center"/>
                </w:tcPr>
                <w:p w:rsidR="00DC6A2D" w:rsidRPr="00632E88" w:rsidRDefault="00DC6A2D" w:rsidP="00DC6A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Nurdan Çam</w:t>
                  </w:r>
                </w:p>
              </w:tc>
            </w:tr>
            <w:tr w:rsidR="00DC6A2D" w:rsidRPr="00632E88" w:rsidTr="004312DD">
              <w:trPr>
                <w:trHeight w:val="662"/>
              </w:trPr>
              <w:tc>
                <w:tcPr>
                  <w:tcW w:w="4815" w:type="dxa"/>
                  <w:vMerge/>
                  <w:vAlign w:val="center"/>
                </w:tcPr>
                <w:p w:rsidR="00DC6A2D" w:rsidRDefault="00DC6A2D" w:rsidP="00DC6A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DC6A2D" w:rsidRDefault="00DC6A2D" w:rsidP="00DC6A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DC6A2D" w:rsidRDefault="00DC6A2D" w:rsidP="00DC6A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C6A2D" w:rsidRDefault="00DC6A2D" w:rsidP="00DC6A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9" w:type="dxa"/>
                  <w:vAlign w:val="center"/>
                </w:tcPr>
                <w:p w:rsidR="00DC6A2D" w:rsidRDefault="00DC6A2D" w:rsidP="00DC6A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DC6A2D" w:rsidRDefault="00DC6A2D" w:rsidP="00DC6A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MBG EN</w:t>
                  </w:r>
                </w:p>
              </w:tc>
              <w:tc>
                <w:tcPr>
                  <w:tcW w:w="1418" w:type="dxa"/>
                  <w:vAlign w:val="center"/>
                </w:tcPr>
                <w:p w:rsidR="00DC6A2D" w:rsidRDefault="00DC6A2D" w:rsidP="00DC6A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3" w:type="dxa"/>
                  <w:vAlign w:val="center"/>
                </w:tcPr>
                <w:p w:rsidR="00DC6A2D" w:rsidRDefault="00DC6A2D" w:rsidP="00DC6A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C6A2D" w:rsidRPr="00632E88" w:rsidTr="004312DD">
              <w:trPr>
                <w:trHeight w:val="677"/>
              </w:trPr>
              <w:tc>
                <w:tcPr>
                  <w:tcW w:w="12895" w:type="dxa"/>
                  <w:gridSpan w:val="7"/>
                  <w:vAlign w:val="center"/>
                </w:tcPr>
                <w:p w:rsidR="00DC6A2D" w:rsidRPr="009913E3" w:rsidRDefault="00DC6A2D" w:rsidP="00DC6A2D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13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NUMBER OF STUDENTS (OPEN / TOTAL QUOTA)</w:t>
                  </w:r>
                </w:p>
              </w:tc>
              <w:tc>
                <w:tcPr>
                  <w:tcW w:w="2333" w:type="dxa"/>
                  <w:vAlign w:val="center"/>
                </w:tcPr>
                <w:p w:rsidR="00DC6A2D" w:rsidRPr="00FF0059" w:rsidRDefault="00DC6A2D" w:rsidP="00DC6A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FF00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/ 2</w:t>
                  </w:r>
                </w:p>
              </w:tc>
            </w:tr>
          </w:tbl>
          <w:p w:rsidR="00DC6A2D" w:rsidRPr="009913E3" w:rsidRDefault="00DC6A2D" w:rsidP="00DC6A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E3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STUDENTS (OPEN / TOTAL QUOTA)</w:t>
            </w:r>
          </w:p>
        </w:tc>
        <w:tc>
          <w:tcPr>
            <w:tcW w:w="986" w:type="dxa"/>
            <w:vAlign w:val="center"/>
          </w:tcPr>
          <w:p w:rsidR="00DC6A2D" w:rsidRPr="00FF0059" w:rsidRDefault="00DC6A2D" w:rsidP="00DC6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0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/ 4</w:t>
            </w:r>
          </w:p>
        </w:tc>
      </w:tr>
    </w:tbl>
    <w:p w:rsidR="00E63847" w:rsidRDefault="00E63847" w:rsidP="00E638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Yrd. Doç. Dr. Zeynep Kanlıdere (Kimya – Biyoloji Mühendisliği)</w:t>
      </w:r>
    </w:p>
    <w:p w:rsidR="00FF0059" w:rsidRDefault="00FF0059" w:rsidP="001B7A0D">
      <w:pPr>
        <w:jc w:val="center"/>
        <w:rPr>
          <w:rFonts w:ascii="Times New Roman" w:hAnsi="Times New Roman" w:cs="Times New Roman"/>
          <w:b/>
        </w:rPr>
      </w:pPr>
    </w:p>
    <w:p w:rsidR="00E63847" w:rsidRDefault="00E63847" w:rsidP="001B7A0D">
      <w:pPr>
        <w:jc w:val="center"/>
        <w:rPr>
          <w:rFonts w:ascii="Times New Roman" w:hAnsi="Times New Roman" w:cs="Times New Roman"/>
          <w:b/>
        </w:rPr>
      </w:pPr>
    </w:p>
    <w:p w:rsidR="00FF0059" w:rsidRPr="001B7A0D" w:rsidRDefault="00FF0059" w:rsidP="001B7A0D">
      <w:pPr>
        <w:jc w:val="center"/>
        <w:rPr>
          <w:rFonts w:ascii="Times New Roman" w:hAnsi="Times New Roman" w:cs="Times New Roman"/>
          <w:b/>
        </w:rPr>
      </w:pPr>
    </w:p>
    <w:sectPr w:rsidR="00FF0059" w:rsidRPr="001B7A0D" w:rsidSect="00E9570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40" w:rsidRDefault="003B1640" w:rsidP="001B7A0D">
      <w:pPr>
        <w:spacing w:after="0" w:line="240" w:lineRule="auto"/>
      </w:pPr>
      <w:r>
        <w:separator/>
      </w:r>
    </w:p>
  </w:endnote>
  <w:endnote w:type="continuationSeparator" w:id="0">
    <w:p w:rsidR="003B1640" w:rsidRDefault="003B1640" w:rsidP="001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976847"/>
      <w:docPartObj>
        <w:docPartGallery w:val="Page Numbers (Bottom of Page)"/>
        <w:docPartUnique/>
      </w:docPartObj>
    </w:sdtPr>
    <w:sdtEndPr/>
    <w:sdtContent>
      <w:p w:rsidR="00AC0F5A" w:rsidRDefault="00AC0F5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DD">
          <w:rPr>
            <w:noProof/>
          </w:rPr>
          <w:t>7</w:t>
        </w:r>
        <w:r>
          <w:fldChar w:fldCharType="end"/>
        </w:r>
      </w:p>
    </w:sdtContent>
  </w:sdt>
  <w:p w:rsidR="00AC0F5A" w:rsidRDefault="00AC0F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40" w:rsidRDefault="003B1640" w:rsidP="001B7A0D">
      <w:pPr>
        <w:spacing w:after="0" w:line="240" w:lineRule="auto"/>
      </w:pPr>
      <w:r>
        <w:separator/>
      </w:r>
    </w:p>
  </w:footnote>
  <w:footnote w:type="continuationSeparator" w:id="0">
    <w:p w:rsidR="003B1640" w:rsidRDefault="003B1640" w:rsidP="001B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0D" w:rsidRDefault="001B7A0D" w:rsidP="001B7A0D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390B7" wp14:editId="7463BB7B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988488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C5951" wp14:editId="279B472D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BD95E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B065F85" wp14:editId="0E8B2073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B7A0D" w:rsidRPr="00323E61" w:rsidRDefault="001B7A0D" w:rsidP="001B7A0D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1B7A0D" w:rsidRPr="00323E61" w:rsidRDefault="001B7A0D" w:rsidP="001B7A0D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1B7A0D" w:rsidRPr="00323E61" w:rsidRDefault="001B7A0D" w:rsidP="001B7A0D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:rsidR="001B7A0D" w:rsidRPr="00323E61" w:rsidRDefault="001B7A0D" w:rsidP="001B7A0D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:rsidR="001B7A0D" w:rsidRDefault="001B7A0D" w:rsidP="001B7A0D">
    <w:pPr>
      <w:pStyle w:val="stBilgi"/>
    </w:pPr>
  </w:p>
  <w:p w:rsidR="001B7A0D" w:rsidRDefault="001B7A0D" w:rsidP="001B7A0D">
    <w:pPr>
      <w:pStyle w:val="stBilgi"/>
    </w:pPr>
  </w:p>
  <w:p w:rsidR="001B7A0D" w:rsidRDefault="001B7A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D"/>
    <w:rsid w:val="0000630C"/>
    <w:rsid w:val="000838E3"/>
    <w:rsid w:val="00092144"/>
    <w:rsid w:val="000E751E"/>
    <w:rsid w:val="001A469D"/>
    <w:rsid w:val="001A62D4"/>
    <w:rsid w:val="001B7A0D"/>
    <w:rsid w:val="00254DC3"/>
    <w:rsid w:val="0028777B"/>
    <w:rsid w:val="002976BB"/>
    <w:rsid w:val="002C33B8"/>
    <w:rsid w:val="00311261"/>
    <w:rsid w:val="00320822"/>
    <w:rsid w:val="00374996"/>
    <w:rsid w:val="003B1640"/>
    <w:rsid w:val="003C4990"/>
    <w:rsid w:val="00407568"/>
    <w:rsid w:val="004312DD"/>
    <w:rsid w:val="0043531C"/>
    <w:rsid w:val="00491895"/>
    <w:rsid w:val="004E28B2"/>
    <w:rsid w:val="004F4A43"/>
    <w:rsid w:val="00523CB2"/>
    <w:rsid w:val="0053754F"/>
    <w:rsid w:val="005D55DA"/>
    <w:rsid w:val="005F2708"/>
    <w:rsid w:val="00603F79"/>
    <w:rsid w:val="00632E88"/>
    <w:rsid w:val="006C282D"/>
    <w:rsid w:val="0073395D"/>
    <w:rsid w:val="007457A7"/>
    <w:rsid w:val="007D2180"/>
    <w:rsid w:val="00841021"/>
    <w:rsid w:val="008430DF"/>
    <w:rsid w:val="008A1AF2"/>
    <w:rsid w:val="008C4069"/>
    <w:rsid w:val="008E6FB0"/>
    <w:rsid w:val="009913E3"/>
    <w:rsid w:val="009A5737"/>
    <w:rsid w:val="009D3250"/>
    <w:rsid w:val="009E7104"/>
    <w:rsid w:val="00A21B37"/>
    <w:rsid w:val="00A44B17"/>
    <w:rsid w:val="00A84FD6"/>
    <w:rsid w:val="00AC0F5A"/>
    <w:rsid w:val="00B46C07"/>
    <w:rsid w:val="00B67CBB"/>
    <w:rsid w:val="00B720BE"/>
    <w:rsid w:val="00B94C6D"/>
    <w:rsid w:val="00BE4FAF"/>
    <w:rsid w:val="00CB5D3E"/>
    <w:rsid w:val="00DC6A2D"/>
    <w:rsid w:val="00DC7A3A"/>
    <w:rsid w:val="00E63847"/>
    <w:rsid w:val="00E67E90"/>
    <w:rsid w:val="00E752DD"/>
    <w:rsid w:val="00E95707"/>
    <w:rsid w:val="00EC5C4F"/>
    <w:rsid w:val="00F04402"/>
    <w:rsid w:val="00F2347E"/>
    <w:rsid w:val="00F75C8B"/>
    <w:rsid w:val="00FE134F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CD55B-4408-42E1-8D69-E9EF191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A0D"/>
  </w:style>
  <w:style w:type="paragraph" w:styleId="AltBilgi">
    <w:name w:val="footer"/>
    <w:basedOn w:val="Normal"/>
    <w:link w:val="AltBilgiChar"/>
    <w:uiPriority w:val="99"/>
    <w:unhideWhenUsed/>
    <w:rsid w:val="001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A0D"/>
  </w:style>
  <w:style w:type="table" w:styleId="TabloKlavuzu">
    <w:name w:val="Table Grid"/>
    <w:basedOn w:val="NormalTablo"/>
    <w:uiPriority w:val="39"/>
    <w:rsid w:val="001B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5D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Doç. Dr. Tunç Çatal</cp:lastModifiedBy>
  <cp:revision>12</cp:revision>
  <cp:lastPrinted>2017-10-10T14:04:00Z</cp:lastPrinted>
  <dcterms:created xsi:type="dcterms:W3CDTF">2018-02-15T12:15:00Z</dcterms:created>
  <dcterms:modified xsi:type="dcterms:W3CDTF">2018-02-23T11:07:00Z</dcterms:modified>
</cp:coreProperties>
</file>